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06F" w:rsidRPr="00576C96" w:rsidRDefault="0079706F" w:rsidP="008442BF">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jc w:val="center"/>
        <w:outlineLvl w:val="1"/>
        <w:rPr>
          <w:rFonts w:ascii="Calibri" w:hAnsi="Calibri" w:cs="Arial"/>
          <w:b/>
          <w:color w:val="FFFFFF"/>
          <w:kern w:val="36"/>
          <w:szCs w:val="26"/>
        </w:rPr>
      </w:pPr>
      <w:r w:rsidRPr="00576C96">
        <w:rPr>
          <w:rFonts w:ascii="Calibri" w:hAnsi="Calibri" w:cs="Arial"/>
          <w:b/>
          <w:color w:val="FFFFFF"/>
          <w:kern w:val="36"/>
          <w:szCs w:val="26"/>
        </w:rPr>
        <w:t>Faut-il emprunter ou autofinancer ses investissements ?</w:t>
      </w:r>
    </w:p>
    <w:p w:rsidR="00CF2BFE" w:rsidRPr="00835127" w:rsidRDefault="0079706F" w:rsidP="004203B6">
      <w:pPr>
        <w:spacing w:before="120" w:after="40"/>
        <w:jc w:val="both"/>
        <w:outlineLvl w:val="2"/>
        <w:rPr>
          <w:rFonts w:ascii="Calibri" w:hAnsi="Calibri" w:cs="Arial"/>
          <w:bCs/>
          <w:i/>
          <w:color w:val="002060"/>
          <w:sz w:val="20"/>
          <w:szCs w:val="20"/>
        </w:rPr>
      </w:pPr>
      <w:r w:rsidRPr="00835127">
        <w:rPr>
          <w:rFonts w:ascii="Calibri" w:hAnsi="Calibri" w:cs="Arial"/>
          <w:bCs/>
          <w:i/>
          <w:color w:val="002060"/>
          <w:sz w:val="20"/>
          <w:szCs w:val="20"/>
        </w:rPr>
        <w:t xml:space="preserve">Lorsque vous prenez la décision d'investir dans votre entreprise, vous devez à chaque fois répondre à la même question : </w:t>
      </w:r>
    </w:p>
    <w:p w:rsidR="00CF2BFE" w:rsidRPr="00835127" w:rsidRDefault="0079706F" w:rsidP="004203B6">
      <w:pPr>
        <w:spacing w:after="60"/>
        <w:jc w:val="both"/>
        <w:outlineLvl w:val="2"/>
        <w:rPr>
          <w:rFonts w:ascii="Calibri" w:hAnsi="Calibri" w:cs="Arial"/>
          <w:bCs/>
          <w:i/>
          <w:color w:val="002060"/>
          <w:sz w:val="20"/>
          <w:szCs w:val="20"/>
        </w:rPr>
      </w:pPr>
      <w:r w:rsidRPr="00835127">
        <w:rPr>
          <w:rFonts w:ascii="Calibri" w:hAnsi="Calibri" w:cs="Arial"/>
          <w:bCs/>
          <w:i/>
          <w:color w:val="002060"/>
          <w:sz w:val="20"/>
          <w:szCs w:val="20"/>
        </w:rPr>
        <w:t>Dois-je autofinancer l'investissement, c'est-à-dire prélever sur la trésorerie de mon entreprise, ou au contraire solliciter mon banqu</w:t>
      </w:r>
      <w:r w:rsidR="00CF2BFE" w:rsidRPr="00835127">
        <w:rPr>
          <w:rFonts w:ascii="Calibri" w:hAnsi="Calibri" w:cs="Arial"/>
          <w:bCs/>
          <w:i/>
          <w:color w:val="002060"/>
          <w:sz w:val="20"/>
          <w:szCs w:val="20"/>
        </w:rPr>
        <w:t>ier pour obtenir un emprunt ?</w:t>
      </w:r>
    </w:p>
    <w:p w:rsidR="0079706F" w:rsidRPr="00835127" w:rsidRDefault="0079706F" w:rsidP="00CF2BFE">
      <w:pPr>
        <w:spacing w:after="120"/>
        <w:jc w:val="both"/>
        <w:outlineLvl w:val="2"/>
        <w:rPr>
          <w:rFonts w:ascii="Calibri" w:hAnsi="Calibri" w:cs="Arial"/>
          <w:bCs/>
          <w:i/>
          <w:color w:val="002060"/>
          <w:sz w:val="20"/>
          <w:szCs w:val="20"/>
        </w:rPr>
      </w:pPr>
      <w:r w:rsidRPr="00835127">
        <w:rPr>
          <w:rFonts w:ascii="Calibri" w:hAnsi="Calibri" w:cs="Arial"/>
          <w:bCs/>
          <w:i/>
          <w:color w:val="002060"/>
          <w:sz w:val="20"/>
          <w:szCs w:val="20"/>
        </w:rPr>
        <w:t xml:space="preserve">Bien entendu, comme souvent en matière de gestion, il n'existe pas de solution miracle valable pour toutes les entreprises et tous les types d'investissement. Tout dépend des circonstances. Voici quelques principes de base qui vous aideront à prendre la bonne décision de financement de vos investissements.  </w:t>
      </w:r>
    </w:p>
    <w:p w:rsidR="0079706F" w:rsidRPr="00576C96" w:rsidRDefault="0079706F" w:rsidP="00CF2BFE">
      <w:pPr>
        <w:spacing w:after="60"/>
        <w:jc w:val="both"/>
        <w:rPr>
          <w:rFonts w:ascii="Calibri" w:hAnsi="Calibri" w:cs="Arial"/>
          <w:color w:val="002060"/>
          <w:sz w:val="21"/>
          <w:szCs w:val="21"/>
        </w:rPr>
      </w:pPr>
      <w:r w:rsidRPr="00576C96">
        <w:rPr>
          <w:rStyle w:val="lev"/>
          <w:rFonts w:ascii="Calibri" w:hAnsi="Calibri" w:cs="Arial"/>
          <w:color w:val="002060"/>
          <w:sz w:val="21"/>
          <w:szCs w:val="21"/>
        </w:rPr>
        <w:t>Avez-vous réellement le choix ?</w:t>
      </w:r>
    </w:p>
    <w:p w:rsidR="0079706F" w:rsidRPr="0079343E" w:rsidRDefault="0079706F" w:rsidP="00CF2BFE">
      <w:pPr>
        <w:spacing w:after="60"/>
        <w:jc w:val="both"/>
        <w:rPr>
          <w:rFonts w:ascii="Calibri" w:hAnsi="Calibri" w:cs="Arial"/>
          <w:color w:val="002060"/>
          <w:sz w:val="20"/>
          <w:szCs w:val="20"/>
        </w:rPr>
      </w:pPr>
      <w:r w:rsidRPr="0079343E">
        <w:rPr>
          <w:rFonts w:ascii="Calibri" w:hAnsi="Calibri" w:cs="Arial"/>
          <w:color w:val="002060"/>
          <w:sz w:val="20"/>
          <w:szCs w:val="20"/>
        </w:rPr>
        <w:t>Inutile de réfléchir aux modalités de financement si l'entreprise ne dispose pas de réserves de trésorerie ou si sa situation financière est précaire. Le chef d'entreprise est alors dans l'obligation de recourir à un financement externe.</w:t>
      </w:r>
    </w:p>
    <w:p w:rsidR="0079706F" w:rsidRPr="0079343E" w:rsidRDefault="0079706F" w:rsidP="00CF2BFE">
      <w:pPr>
        <w:spacing w:after="60"/>
        <w:jc w:val="both"/>
        <w:rPr>
          <w:rFonts w:ascii="Calibri" w:hAnsi="Calibri" w:cs="Arial"/>
          <w:color w:val="002060"/>
          <w:sz w:val="20"/>
          <w:szCs w:val="20"/>
        </w:rPr>
      </w:pPr>
      <w:r w:rsidRPr="0079343E">
        <w:rPr>
          <w:rFonts w:ascii="Calibri" w:hAnsi="Calibri" w:cs="Arial"/>
          <w:color w:val="002060"/>
          <w:sz w:val="20"/>
          <w:szCs w:val="20"/>
        </w:rPr>
        <w:t>Mais, dans cette hypothèse, il y a peu de chances que son banquier soit disposé à lui accorder un prêt couvrant l'intégralité de l'inve</w:t>
      </w:r>
      <w:r w:rsidR="00C03758">
        <w:rPr>
          <w:rFonts w:ascii="Calibri" w:hAnsi="Calibri" w:cs="Arial"/>
          <w:color w:val="002060"/>
          <w:sz w:val="20"/>
          <w:szCs w:val="20"/>
        </w:rPr>
        <w:t>stissement. Une chose est sûre : p</w:t>
      </w:r>
      <w:r w:rsidRPr="0079343E">
        <w:rPr>
          <w:rFonts w:ascii="Calibri" w:hAnsi="Calibri" w:cs="Arial"/>
          <w:color w:val="002060"/>
          <w:sz w:val="20"/>
          <w:szCs w:val="20"/>
        </w:rPr>
        <w:t>our emprunter, il faut avoir la confiance de son banquier. Et on le sait, certains investissements sont indispensables et ne peuvent être repoussés.</w:t>
      </w:r>
    </w:p>
    <w:p w:rsidR="0079706F" w:rsidRPr="0079343E" w:rsidRDefault="0079706F" w:rsidP="00F12821">
      <w:pPr>
        <w:spacing w:after="120"/>
        <w:jc w:val="both"/>
        <w:rPr>
          <w:rFonts w:ascii="Calibri" w:hAnsi="Calibri" w:cs="Arial"/>
          <w:color w:val="002060"/>
          <w:sz w:val="20"/>
          <w:szCs w:val="20"/>
        </w:rPr>
      </w:pPr>
      <w:r w:rsidRPr="0079343E">
        <w:rPr>
          <w:rFonts w:ascii="Calibri" w:hAnsi="Calibri" w:cs="Arial"/>
          <w:color w:val="002060"/>
          <w:sz w:val="20"/>
          <w:szCs w:val="20"/>
        </w:rPr>
        <w:t>Une solution s'impose donc : conserver la confiance de son banquier en lui démontrant les efforts de financement de l'entreprise et de son dirigeant, ainsi que tout l'intérêt de son concours pour assurer le développement de l'activité.</w:t>
      </w:r>
    </w:p>
    <w:p w:rsidR="0079706F" w:rsidRPr="00576C96" w:rsidRDefault="0079706F" w:rsidP="00CF2BFE">
      <w:pPr>
        <w:spacing w:after="60"/>
        <w:jc w:val="both"/>
        <w:rPr>
          <w:rFonts w:ascii="Calibri" w:hAnsi="Calibri" w:cs="Arial"/>
          <w:color w:val="002060"/>
          <w:sz w:val="21"/>
          <w:szCs w:val="21"/>
        </w:rPr>
      </w:pPr>
      <w:r w:rsidRPr="00576C96">
        <w:rPr>
          <w:rStyle w:val="lev"/>
          <w:rFonts w:ascii="Calibri" w:hAnsi="Calibri" w:cs="Arial"/>
          <w:color w:val="002060"/>
          <w:sz w:val="21"/>
          <w:szCs w:val="21"/>
        </w:rPr>
        <w:t>Quel type de bien devez-vous acquérir ?</w:t>
      </w:r>
    </w:p>
    <w:p w:rsidR="0079706F" w:rsidRPr="0079343E" w:rsidRDefault="0079706F" w:rsidP="00CF2BFE">
      <w:pPr>
        <w:spacing w:after="60"/>
        <w:jc w:val="both"/>
        <w:rPr>
          <w:rFonts w:ascii="Calibri" w:hAnsi="Calibri" w:cs="Arial"/>
          <w:color w:val="002060"/>
          <w:sz w:val="20"/>
          <w:szCs w:val="20"/>
        </w:rPr>
      </w:pPr>
      <w:r w:rsidRPr="0079343E">
        <w:rPr>
          <w:rFonts w:ascii="Calibri" w:hAnsi="Calibri" w:cs="Arial"/>
          <w:color w:val="002060"/>
          <w:sz w:val="20"/>
          <w:szCs w:val="20"/>
        </w:rPr>
        <w:t>Votre choix de financement ne sera évidemment pas le même selon que vous investissez dans un immeuble ou dans un matériel à renouveler très fréquemment. Pour ce qui est de l'immeuble, il serait rationnel de le financer par un emprunt sur une durée de 12 à 15 ans. En revanche, la vitesse de rotation du matériel peut légitimement vous pousser à consacrer une part plus importante à l'autofinancement.</w:t>
      </w:r>
    </w:p>
    <w:p w:rsidR="0079706F" w:rsidRPr="0079343E" w:rsidRDefault="0079706F" w:rsidP="00CF2BFE">
      <w:pPr>
        <w:spacing w:after="60"/>
        <w:jc w:val="both"/>
        <w:rPr>
          <w:rFonts w:ascii="Calibri" w:hAnsi="Calibri" w:cs="Arial"/>
          <w:color w:val="002060"/>
          <w:sz w:val="20"/>
          <w:szCs w:val="20"/>
        </w:rPr>
      </w:pPr>
      <w:r w:rsidRPr="0079343E">
        <w:rPr>
          <w:rFonts w:ascii="Calibri" w:hAnsi="Calibri" w:cs="Arial"/>
          <w:color w:val="002060"/>
          <w:sz w:val="20"/>
          <w:szCs w:val="20"/>
        </w:rPr>
        <w:t>Vous devez aussi prendre en compte l'impact prévisible de votre investissement sur vos besoins en fonds de roulement. Si vous anticipez un accroissement de ces besoins, mieux vaut garder vos réserves de trésorerie au chaud : elles vous permettront de financer l'augmentation du montant de vos stocks et des crédits consentis à vos clients sans recourir trop massivement aux financements à court terme très coûteux.</w:t>
      </w:r>
    </w:p>
    <w:p w:rsidR="0079706F" w:rsidRPr="0079343E" w:rsidRDefault="0079706F" w:rsidP="00CF2BFE">
      <w:pPr>
        <w:spacing w:after="60"/>
        <w:jc w:val="both"/>
        <w:rPr>
          <w:rFonts w:ascii="Calibri" w:hAnsi="Calibri" w:cs="Arial"/>
          <w:color w:val="002060"/>
          <w:sz w:val="20"/>
          <w:szCs w:val="20"/>
        </w:rPr>
      </w:pPr>
      <w:r w:rsidRPr="0079343E">
        <w:rPr>
          <w:rFonts w:ascii="Calibri" w:hAnsi="Calibri" w:cs="Arial"/>
          <w:color w:val="002060"/>
          <w:sz w:val="20"/>
          <w:szCs w:val="20"/>
        </w:rPr>
        <w:t xml:space="preserve">D'une manière générale, mieux vaut financer vos investissements lourds par emprunts et vos besoins d'exploitation par vous-même. Votre résultat financier ainsi que votre résultat net </w:t>
      </w:r>
      <w:smartTag w:uri="urn:schemas-microsoft-com:office:smarttags" w:element="PersonName">
        <w:r w:rsidRPr="0079343E">
          <w:rPr>
            <w:rFonts w:ascii="Calibri" w:hAnsi="Calibri" w:cs="Arial"/>
            <w:color w:val="002060"/>
            <w:sz w:val="20"/>
            <w:szCs w:val="20"/>
          </w:rPr>
          <w:t>compta</w:t>
        </w:r>
      </w:smartTag>
      <w:r w:rsidRPr="0079343E">
        <w:rPr>
          <w:rFonts w:ascii="Calibri" w:hAnsi="Calibri" w:cs="Arial"/>
          <w:color w:val="002060"/>
          <w:sz w:val="20"/>
          <w:szCs w:val="20"/>
        </w:rPr>
        <w:t>ble n'en seront que meilleurs.</w:t>
      </w:r>
    </w:p>
    <w:p w:rsidR="0079706F" w:rsidRPr="0079343E" w:rsidRDefault="0079706F" w:rsidP="00CF2BFE">
      <w:pPr>
        <w:spacing w:after="60"/>
        <w:jc w:val="both"/>
        <w:rPr>
          <w:rFonts w:ascii="Calibri" w:hAnsi="Calibri" w:cs="Arial"/>
          <w:color w:val="002060"/>
          <w:sz w:val="20"/>
          <w:szCs w:val="20"/>
        </w:rPr>
      </w:pPr>
      <w:r w:rsidRPr="0079343E">
        <w:rPr>
          <w:rFonts w:ascii="Calibri" w:hAnsi="Calibri" w:cs="Arial"/>
          <w:color w:val="002060"/>
          <w:sz w:val="20"/>
          <w:szCs w:val="20"/>
        </w:rPr>
        <w:t>À noter vous devez en principe financer vos immobilisations en recourant aux capitaux permanents dont dispose votre entreprise (capital, réserves, emprunts à long et moyen terme notamment).</w:t>
      </w:r>
    </w:p>
    <w:p w:rsidR="0079706F" w:rsidRPr="0079343E" w:rsidRDefault="0079706F" w:rsidP="00F12821">
      <w:pPr>
        <w:spacing w:after="120"/>
        <w:jc w:val="both"/>
        <w:rPr>
          <w:rFonts w:ascii="Calibri" w:hAnsi="Calibri" w:cs="Arial"/>
          <w:color w:val="002060"/>
          <w:sz w:val="20"/>
          <w:szCs w:val="20"/>
        </w:rPr>
      </w:pPr>
      <w:r w:rsidRPr="0079343E">
        <w:rPr>
          <w:rFonts w:ascii="Calibri" w:hAnsi="Calibri" w:cs="Arial"/>
          <w:color w:val="002060"/>
          <w:sz w:val="20"/>
          <w:szCs w:val="20"/>
        </w:rPr>
        <w:t>Veillez toujours à ce que votre ratio capitaux permanents/valeurs immobilisées nettes soit au moins égal à 1. Lorsque ce ratio est supérieur à 1, cela signifie que vos capitaux permanents financent au moins pour partie vos besoins d'exploitation. Il est inférieur à 1 lorsque vous avez financé une partie de vos actifs immobilisés avec des dettes à court terme, ce qui constitue un risque de gestion à éviter à tout prix.</w:t>
      </w:r>
    </w:p>
    <w:p w:rsidR="0079706F" w:rsidRPr="00576C96" w:rsidRDefault="0079706F" w:rsidP="00CF2BFE">
      <w:pPr>
        <w:spacing w:after="60"/>
        <w:jc w:val="both"/>
        <w:rPr>
          <w:rFonts w:ascii="Calibri" w:hAnsi="Calibri" w:cs="Arial"/>
          <w:color w:val="002060"/>
          <w:sz w:val="21"/>
          <w:szCs w:val="21"/>
        </w:rPr>
      </w:pPr>
      <w:r w:rsidRPr="00576C96">
        <w:rPr>
          <w:rStyle w:val="lev"/>
          <w:rFonts w:ascii="Calibri" w:hAnsi="Calibri" w:cs="Arial"/>
          <w:color w:val="002060"/>
          <w:sz w:val="21"/>
          <w:szCs w:val="21"/>
        </w:rPr>
        <w:t>Faut-il emprunter à 100 % ?</w:t>
      </w:r>
    </w:p>
    <w:p w:rsidR="0079706F" w:rsidRDefault="0079706F" w:rsidP="005A58FD">
      <w:pPr>
        <w:spacing w:after="120"/>
        <w:jc w:val="both"/>
        <w:rPr>
          <w:rFonts w:ascii="Calibri" w:hAnsi="Calibri" w:cs="Arial"/>
          <w:color w:val="002060"/>
          <w:sz w:val="20"/>
          <w:szCs w:val="20"/>
        </w:rPr>
      </w:pPr>
      <w:r w:rsidRPr="0079343E">
        <w:rPr>
          <w:rFonts w:ascii="Calibri" w:hAnsi="Calibri" w:cs="Arial"/>
          <w:color w:val="002060"/>
          <w:sz w:val="20"/>
          <w:szCs w:val="20"/>
        </w:rPr>
        <w:t>Votre banquier sera réticent à financer 100 % de votre investissement. Prévoyez donc un apport d'au moins 30 %. En effet, votre banquier veillera à ce que le total de vos emprunts soit en rapport avec le montant de vos capitaux propres. Essayez, si possible, de respecter le ratio suivant :</w:t>
      </w:r>
    </w:p>
    <w:tbl>
      <w:tblPr>
        <w:tblStyle w:val="Grilledutableau"/>
        <w:tblW w:w="0" w:type="auto"/>
        <w:shd w:val="clear" w:color="auto" w:fill="FFFFCC"/>
        <w:tblLook w:val="04A0" w:firstRow="1" w:lastRow="0" w:firstColumn="1" w:lastColumn="0" w:noHBand="0" w:noVBand="1"/>
      </w:tblPr>
      <w:tblGrid>
        <w:gridCol w:w="10194"/>
      </w:tblGrid>
      <w:tr w:rsidR="00CF2BFE" w:rsidTr="00AA076D">
        <w:tc>
          <w:tcPr>
            <w:tcW w:w="10194" w:type="dxa"/>
            <w:shd w:val="clear" w:color="auto" w:fill="FFFFCC"/>
          </w:tcPr>
          <w:p w:rsidR="00CF2BFE" w:rsidRPr="00CF2BFE" w:rsidRDefault="00CF2BFE" w:rsidP="00CF2BFE">
            <w:pPr>
              <w:spacing w:before="120" w:after="120"/>
              <w:jc w:val="center"/>
              <w:rPr>
                <w:rFonts w:ascii="Calibri" w:hAnsi="Calibri" w:cs="Arial"/>
                <w:b/>
                <w:color w:val="002060"/>
                <w:sz w:val="22"/>
                <w:szCs w:val="22"/>
              </w:rPr>
            </w:pPr>
            <w:r w:rsidRPr="00CF2BFE">
              <w:rPr>
                <w:rFonts w:ascii="Calibri" w:hAnsi="Calibri" w:cs="Arial"/>
                <w:b/>
                <w:color w:val="002060"/>
                <w:sz w:val="22"/>
                <w:szCs w:val="22"/>
              </w:rPr>
              <w:t xml:space="preserve">Fonds propres &gt; ou = dettes </w:t>
            </w:r>
            <w:r w:rsidR="00CC1D2A">
              <w:rPr>
                <w:rFonts w:ascii="Calibri" w:hAnsi="Calibri" w:cs="Arial"/>
                <w:b/>
                <w:color w:val="002060"/>
                <w:sz w:val="22"/>
                <w:szCs w:val="22"/>
              </w:rPr>
              <w:t xml:space="preserve">financières </w:t>
            </w:r>
            <w:r w:rsidRPr="00CF2BFE">
              <w:rPr>
                <w:rFonts w:ascii="Calibri" w:hAnsi="Calibri" w:cs="Arial"/>
                <w:b/>
                <w:color w:val="002060"/>
                <w:sz w:val="22"/>
                <w:szCs w:val="22"/>
              </w:rPr>
              <w:t>à long et moyen terme</w:t>
            </w:r>
          </w:p>
        </w:tc>
      </w:tr>
    </w:tbl>
    <w:p w:rsidR="0079706F" w:rsidRDefault="0079706F" w:rsidP="005A58FD">
      <w:pPr>
        <w:spacing w:before="120" w:after="120"/>
        <w:jc w:val="both"/>
        <w:rPr>
          <w:rFonts w:ascii="Calibri" w:hAnsi="Calibri" w:cs="Arial"/>
          <w:color w:val="002060"/>
          <w:sz w:val="20"/>
          <w:szCs w:val="20"/>
        </w:rPr>
      </w:pPr>
      <w:r w:rsidRPr="00C03758">
        <w:rPr>
          <w:rFonts w:ascii="Calibri" w:hAnsi="Calibri" w:cs="Arial"/>
          <w:b/>
          <w:color w:val="002060"/>
          <w:sz w:val="20"/>
          <w:szCs w:val="20"/>
        </w:rPr>
        <w:t>À noter</w:t>
      </w:r>
      <w:r w:rsidR="00C03758">
        <w:rPr>
          <w:rFonts w:ascii="Calibri" w:hAnsi="Calibri" w:cs="Arial"/>
          <w:color w:val="002060"/>
          <w:sz w:val="20"/>
          <w:szCs w:val="20"/>
        </w:rPr>
        <w:t xml:space="preserve"> : </w:t>
      </w:r>
      <w:r w:rsidRPr="0079343E">
        <w:rPr>
          <w:rFonts w:ascii="Calibri" w:hAnsi="Calibri" w:cs="Arial"/>
          <w:color w:val="002060"/>
          <w:sz w:val="20"/>
          <w:szCs w:val="20"/>
        </w:rPr>
        <w:t xml:space="preserve">n'oubliez pas de vérifier que votre capacité d'autofinancement (résultat net </w:t>
      </w:r>
      <w:r w:rsidR="00C03758">
        <w:rPr>
          <w:rFonts w:ascii="Calibri" w:hAnsi="Calibri" w:cs="Arial"/>
          <w:color w:val="002060"/>
          <w:sz w:val="20"/>
          <w:szCs w:val="20"/>
        </w:rPr>
        <w:t xml:space="preserve">+ </w:t>
      </w:r>
      <w:r w:rsidRPr="0079343E">
        <w:rPr>
          <w:rFonts w:ascii="Calibri" w:hAnsi="Calibri" w:cs="Arial"/>
          <w:color w:val="002060"/>
          <w:sz w:val="20"/>
          <w:szCs w:val="20"/>
        </w:rPr>
        <w:t xml:space="preserve">dotations aux amortissements) vous permettra de faire face à vos échéances d'emprunts. A ce titre, </w:t>
      </w:r>
      <w:r w:rsidR="00C03758">
        <w:rPr>
          <w:rFonts w:ascii="Calibri" w:hAnsi="Calibri" w:cs="Arial"/>
          <w:color w:val="002060"/>
          <w:sz w:val="20"/>
          <w:szCs w:val="20"/>
        </w:rPr>
        <w:t>il est conseillé</w:t>
      </w:r>
      <w:r w:rsidRPr="0079343E">
        <w:rPr>
          <w:rFonts w:ascii="Calibri" w:hAnsi="Calibri" w:cs="Arial"/>
          <w:color w:val="002060"/>
          <w:sz w:val="20"/>
          <w:szCs w:val="20"/>
        </w:rPr>
        <w:t xml:space="preserve"> de respecter la règle suivante :</w:t>
      </w:r>
    </w:p>
    <w:tbl>
      <w:tblPr>
        <w:tblStyle w:val="Grilledutableau"/>
        <w:tblW w:w="0" w:type="auto"/>
        <w:shd w:val="clear" w:color="auto" w:fill="FFFFCC"/>
        <w:tblLook w:val="04A0" w:firstRow="1" w:lastRow="0" w:firstColumn="1" w:lastColumn="0" w:noHBand="0" w:noVBand="1"/>
      </w:tblPr>
      <w:tblGrid>
        <w:gridCol w:w="10194"/>
      </w:tblGrid>
      <w:tr w:rsidR="00CF2BFE" w:rsidTr="00AA076D">
        <w:tc>
          <w:tcPr>
            <w:tcW w:w="10194" w:type="dxa"/>
            <w:shd w:val="clear" w:color="auto" w:fill="FFFFCC"/>
          </w:tcPr>
          <w:p w:rsidR="00CF2BFE" w:rsidRPr="00CF2BFE" w:rsidRDefault="00CF2BFE" w:rsidP="00095E35">
            <w:pPr>
              <w:spacing w:before="120" w:after="120"/>
              <w:jc w:val="center"/>
              <w:rPr>
                <w:rFonts w:ascii="Calibri" w:hAnsi="Calibri" w:cs="Arial"/>
                <w:b/>
                <w:color w:val="002060"/>
                <w:sz w:val="22"/>
                <w:szCs w:val="22"/>
              </w:rPr>
            </w:pPr>
            <w:r w:rsidRPr="00CF2BFE">
              <w:rPr>
                <w:rFonts w:ascii="Calibri" w:hAnsi="Calibri" w:cs="Arial"/>
                <w:b/>
                <w:color w:val="002060"/>
                <w:sz w:val="22"/>
                <w:szCs w:val="22"/>
              </w:rPr>
              <w:t>Remboursements en capital de</w:t>
            </w:r>
            <w:r w:rsidR="00095E35">
              <w:rPr>
                <w:rFonts w:ascii="Calibri" w:hAnsi="Calibri" w:cs="Arial"/>
                <w:b/>
                <w:color w:val="002060"/>
                <w:sz w:val="22"/>
                <w:szCs w:val="22"/>
              </w:rPr>
              <w:t>s emprunts &lt; 50 % de la capacité d’autofinancement</w:t>
            </w:r>
          </w:p>
        </w:tc>
      </w:tr>
    </w:tbl>
    <w:p w:rsidR="0079706F" w:rsidRPr="0079343E" w:rsidRDefault="0079706F" w:rsidP="00F12821">
      <w:pPr>
        <w:rPr>
          <w:rFonts w:ascii="Calibri" w:hAnsi="Calibri" w:cs="Arial"/>
          <w:color w:val="002060"/>
          <w:sz w:val="20"/>
          <w:szCs w:val="20"/>
        </w:rPr>
      </w:pPr>
    </w:p>
    <w:p w:rsidR="0079706F" w:rsidRPr="00576C96" w:rsidRDefault="0079706F" w:rsidP="00CF2BFE">
      <w:pPr>
        <w:spacing w:after="60"/>
        <w:jc w:val="both"/>
        <w:rPr>
          <w:rFonts w:ascii="Calibri" w:hAnsi="Calibri" w:cs="Arial"/>
          <w:color w:val="002060"/>
          <w:sz w:val="21"/>
          <w:szCs w:val="21"/>
        </w:rPr>
      </w:pPr>
      <w:r w:rsidRPr="00576C96">
        <w:rPr>
          <w:rStyle w:val="lev"/>
          <w:rFonts w:ascii="Calibri" w:hAnsi="Calibri" w:cs="Arial"/>
          <w:color w:val="002060"/>
          <w:sz w:val="21"/>
          <w:szCs w:val="21"/>
        </w:rPr>
        <w:t>Ne négligez pas l'effet de levier de l'emprunt</w:t>
      </w:r>
    </w:p>
    <w:p w:rsidR="00CF2BFE" w:rsidRDefault="0079706F" w:rsidP="00CF2BFE">
      <w:pPr>
        <w:spacing w:after="60"/>
        <w:jc w:val="both"/>
        <w:rPr>
          <w:rFonts w:ascii="Calibri" w:hAnsi="Calibri" w:cs="Arial"/>
          <w:color w:val="002060"/>
          <w:sz w:val="20"/>
          <w:szCs w:val="20"/>
        </w:rPr>
      </w:pPr>
      <w:r w:rsidRPr="0079343E">
        <w:rPr>
          <w:rFonts w:ascii="Calibri" w:hAnsi="Calibri" w:cs="Arial"/>
          <w:color w:val="002060"/>
          <w:sz w:val="20"/>
          <w:szCs w:val="20"/>
        </w:rPr>
        <w:t xml:space="preserve">Aussi surprenant que cela puisse paraître, il peut être parfois plus intéressant de recourir à un emprunt total ou partiel alors même que vous disposez des fonds pour financer votre investissement. </w:t>
      </w:r>
    </w:p>
    <w:p w:rsidR="00CF2BFE" w:rsidRDefault="0079706F" w:rsidP="00CF2BFE">
      <w:pPr>
        <w:spacing w:after="60"/>
        <w:jc w:val="both"/>
        <w:rPr>
          <w:rFonts w:ascii="Calibri" w:hAnsi="Calibri" w:cs="Arial"/>
          <w:color w:val="002060"/>
          <w:sz w:val="20"/>
          <w:szCs w:val="20"/>
        </w:rPr>
      </w:pPr>
      <w:r w:rsidRPr="0079343E">
        <w:rPr>
          <w:rFonts w:ascii="Calibri" w:hAnsi="Calibri" w:cs="Arial"/>
          <w:color w:val="002060"/>
          <w:sz w:val="20"/>
          <w:szCs w:val="20"/>
        </w:rPr>
        <w:t xml:space="preserve">En effet, le recours au financement externe peut engendrer un effet de levier intéressant du point de vue de la rentabilité financière de votre entreprise. </w:t>
      </w:r>
    </w:p>
    <w:p w:rsidR="0079706F" w:rsidRDefault="0079706F" w:rsidP="00CF2BFE">
      <w:pPr>
        <w:spacing w:after="60"/>
        <w:jc w:val="both"/>
        <w:rPr>
          <w:rFonts w:ascii="Calibri" w:hAnsi="Calibri" w:cs="Arial"/>
          <w:color w:val="002060"/>
          <w:sz w:val="20"/>
          <w:szCs w:val="20"/>
        </w:rPr>
      </w:pPr>
      <w:r w:rsidRPr="0079343E">
        <w:rPr>
          <w:rFonts w:ascii="Calibri" w:hAnsi="Calibri" w:cs="Arial"/>
          <w:color w:val="002060"/>
          <w:sz w:val="20"/>
          <w:szCs w:val="20"/>
        </w:rPr>
        <w:t>Autrement dit, la rentabilité financière des capitaux investis dans votre entreprise peut augmenter si vous engagez des investissements sans les autofinancer. Vous devez toutefois mesurer au préalable le degré de ce fameux effet de levier.</w:t>
      </w:r>
    </w:p>
    <w:p w:rsidR="00935E87" w:rsidRDefault="00935E87" w:rsidP="00CF2BFE">
      <w:pPr>
        <w:spacing w:after="60"/>
        <w:jc w:val="both"/>
        <w:rPr>
          <w:rFonts w:ascii="Calibri" w:hAnsi="Calibri" w:cs="Arial"/>
          <w:color w:val="002060"/>
          <w:sz w:val="20"/>
          <w:szCs w:val="20"/>
        </w:rPr>
      </w:pPr>
    </w:p>
    <w:p w:rsidR="004203B6" w:rsidRDefault="004203B6" w:rsidP="00CF2BFE">
      <w:pPr>
        <w:spacing w:after="60"/>
        <w:jc w:val="both"/>
        <w:rPr>
          <w:rFonts w:ascii="Calibri" w:hAnsi="Calibri" w:cs="Arial"/>
          <w:color w:val="002060"/>
          <w:sz w:val="20"/>
          <w:szCs w:val="20"/>
        </w:rPr>
      </w:pPr>
    </w:p>
    <w:p w:rsidR="00935E87" w:rsidRPr="0079343E" w:rsidRDefault="00935E87" w:rsidP="00CF2BFE">
      <w:pPr>
        <w:spacing w:after="60"/>
        <w:jc w:val="both"/>
        <w:rPr>
          <w:rFonts w:ascii="Calibri" w:hAnsi="Calibri" w:cs="Arial"/>
          <w:color w:val="002060"/>
          <w:sz w:val="20"/>
          <w:szCs w:val="20"/>
        </w:rPr>
      </w:pPr>
    </w:p>
    <w:p w:rsidR="0079706F" w:rsidRPr="0079343E" w:rsidRDefault="0079706F" w:rsidP="00F12821">
      <w:pPr>
        <w:spacing w:after="60"/>
        <w:jc w:val="both"/>
        <w:rPr>
          <w:rFonts w:ascii="Calibri" w:hAnsi="Calibri" w:cs="Arial"/>
          <w:color w:val="002060"/>
          <w:sz w:val="20"/>
          <w:szCs w:val="20"/>
        </w:rPr>
      </w:pPr>
      <w:r w:rsidRPr="0079343E">
        <w:rPr>
          <w:rFonts w:ascii="Calibri" w:hAnsi="Calibri" w:cs="Arial"/>
          <w:color w:val="002060"/>
          <w:sz w:val="20"/>
          <w:szCs w:val="20"/>
        </w:rPr>
        <w:lastRenderedPageBreak/>
        <w:t>Exemple</w:t>
      </w:r>
      <w:r w:rsidR="00C03758">
        <w:rPr>
          <w:rFonts w:ascii="Calibri" w:hAnsi="Calibri" w:cs="Arial"/>
          <w:color w:val="002060"/>
          <w:sz w:val="20"/>
          <w:szCs w:val="20"/>
        </w:rPr>
        <w:t> :</w:t>
      </w:r>
      <w:r w:rsidRPr="0079343E">
        <w:rPr>
          <w:rFonts w:ascii="Calibri" w:hAnsi="Calibri" w:cs="Arial"/>
          <w:color w:val="002060"/>
          <w:sz w:val="20"/>
          <w:szCs w:val="20"/>
        </w:rPr>
        <w:t xml:space="preserve"> investissement de 15 000 € dégageant une rentabilité brute de 15 %.</w:t>
      </w:r>
    </w:p>
    <w:tbl>
      <w:tblPr>
        <w:tblStyle w:val="Grilledutableau"/>
        <w:tblW w:w="0" w:type="auto"/>
        <w:tblLook w:val="04A0" w:firstRow="1" w:lastRow="0" w:firstColumn="1" w:lastColumn="0" w:noHBand="0" w:noVBand="1"/>
      </w:tblPr>
      <w:tblGrid>
        <w:gridCol w:w="3539"/>
        <w:gridCol w:w="1701"/>
        <w:gridCol w:w="1701"/>
      </w:tblGrid>
      <w:tr w:rsidR="00095E35" w:rsidTr="00D36534">
        <w:tc>
          <w:tcPr>
            <w:tcW w:w="3539" w:type="dxa"/>
            <w:shd w:val="clear" w:color="auto" w:fill="EAEAEA"/>
          </w:tcPr>
          <w:p w:rsidR="00095E35" w:rsidRDefault="00095E35" w:rsidP="00095E35">
            <w:pPr>
              <w:spacing w:before="60" w:after="60"/>
              <w:jc w:val="center"/>
              <w:rPr>
                <w:rFonts w:ascii="Calibri" w:hAnsi="Calibri" w:cs="Arial"/>
                <w:b/>
                <w:color w:val="002060"/>
                <w:sz w:val="20"/>
                <w:szCs w:val="20"/>
              </w:rPr>
            </w:pPr>
          </w:p>
        </w:tc>
        <w:tc>
          <w:tcPr>
            <w:tcW w:w="1701" w:type="dxa"/>
            <w:shd w:val="clear" w:color="auto" w:fill="EAEAEA"/>
            <w:vAlign w:val="center"/>
          </w:tcPr>
          <w:p w:rsidR="00095E35" w:rsidRDefault="00095E35" w:rsidP="00095E35">
            <w:pPr>
              <w:spacing w:before="60" w:after="60"/>
              <w:jc w:val="center"/>
              <w:rPr>
                <w:rFonts w:ascii="Calibri" w:hAnsi="Calibri" w:cs="Arial"/>
                <w:b/>
                <w:color w:val="002060"/>
                <w:sz w:val="20"/>
                <w:szCs w:val="20"/>
              </w:rPr>
            </w:pPr>
            <w:r>
              <w:rPr>
                <w:rFonts w:ascii="Calibri" w:hAnsi="Calibri" w:cs="Arial"/>
                <w:b/>
                <w:color w:val="002060"/>
                <w:sz w:val="20"/>
                <w:szCs w:val="20"/>
              </w:rPr>
              <w:t>Autofinancement</w:t>
            </w:r>
          </w:p>
        </w:tc>
        <w:tc>
          <w:tcPr>
            <w:tcW w:w="1701" w:type="dxa"/>
            <w:shd w:val="clear" w:color="auto" w:fill="EAEAEA"/>
          </w:tcPr>
          <w:p w:rsidR="00095E35" w:rsidRDefault="00095E35" w:rsidP="00095E35">
            <w:pPr>
              <w:spacing w:before="60"/>
              <w:jc w:val="center"/>
              <w:rPr>
                <w:rFonts w:ascii="Calibri" w:hAnsi="Calibri" w:cs="Arial"/>
                <w:b/>
                <w:color w:val="002060"/>
                <w:sz w:val="20"/>
                <w:szCs w:val="20"/>
              </w:rPr>
            </w:pPr>
            <w:r>
              <w:rPr>
                <w:rFonts w:ascii="Calibri" w:hAnsi="Calibri" w:cs="Arial"/>
                <w:b/>
                <w:color w:val="002060"/>
                <w:sz w:val="20"/>
                <w:szCs w:val="20"/>
              </w:rPr>
              <w:t xml:space="preserve">Emprunt de 80% </w:t>
            </w:r>
          </w:p>
          <w:p w:rsidR="00095E35" w:rsidRDefault="00095E35" w:rsidP="00095E35">
            <w:pPr>
              <w:spacing w:after="60"/>
              <w:jc w:val="center"/>
              <w:rPr>
                <w:rFonts w:ascii="Calibri" w:hAnsi="Calibri" w:cs="Arial"/>
                <w:b/>
                <w:color w:val="002060"/>
                <w:sz w:val="20"/>
                <w:szCs w:val="20"/>
              </w:rPr>
            </w:pPr>
            <w:r w:rsidRPr="00095E35">
              <w:rPr>
                <w:rFonts w:ascii="Calibri" w:hAnsi="Calibri" w:cs="Arial"/>
                <w:color w:val="002060"/>
                <w:sz w:val="20"/>
                <w:szCs w:val="20"/>
              </w:rPr>
              <w:t>(au taux de 8%)</w:t>
            </w:r>
          </w:p>
        </w:tc>
        <w:bookmarkStart w:id="0" w:name="_GoBack"/>
        <w:bookmarkEnd w:id="0"/>
      </w:tr>
      <w:tr w:rsidR="00095E35" w:rsidTr="00935E87">
        <w:tc>
          <w:tcPr>
            <w:tcW w:w="3539" w:type="dxa"/>
          </w:tcPr>
          <w:p w:rsidR="00095E35" w:rsidRPr="00095E35" w:rsidRDefault="00095E35" w:rsidP="00095E35">
            <w:pPr>
              <w:spacing w:before="60" w:after="60"/>
              <w:rPr>
                <w:rFonts w:ascii="Calibri" w:hAnsi="Calibri" w:cs="Arial"/>
                <w:color w:val="002060"/>
                <w:sz w:val="20"/>
                <w:szCs w:val="20"/>
              </w:rPr>
            </w:pPr>
            <w:r w:rsidRPr="00095E35">
              <w:rPr>
                <w:rFonts w:ascii="Calibri" w:hAnsi="Calibri" w:cs="Arial"/>
                <w:color w:val="002060"/>
                <w:sz w:val="20"/>
                <w:szCs w:val="20"/>
              </w:rPr>
              <w:t>Fonds propres</w:t>
            </w:r>
          </w:p>
        </w:tc>
        <w:tc>
          <w:tcPr>
            <w:tcW w:w="1701" w:type="dxa"/>
          </w:tcPr>
          <w:p w:rsidR="00095E35" w:rsidRPr="00095E35" w:rsidRDefault="00095E35" w:rsidP="00095E35">
            <w:pPr>
              <w:spacing w:before="60" w:after="60"/>
              <w:jc w:val="right"/>
              <w:rPr>
                <w:rFonts w:ascii="Calibri" w:hAnsi="Calibri" w:cs="Arial"/>
                <w:color w:val="002060"/>
                <w:sz w:val="20"/>
                <w:szCs w:val="20"/>
              </w:rPr>
            </w:pPr>
            <w:r w:rsidRPr="00095E35">
              <w:rPr>
                <w:rFonts w:ascii="Calibri" w:hAnsi="Calibri" w:cs="Arial"/>
                <w:color w:val="002060"/>
                <w:sz w:val="20"/>
                <w:szCs w:val="20"/>
              </w:rPr>
              <w:t>15.000</w:t>
            </w:r>
          </w:p>
        </w:tc>
        <w:tc>
          <w:tcPr>
            <w:tcW w:w="1701" w:type="dxa"/>
          </w:tcPr>
          <w:p w:rsidR="00095E35" w:rsidRPr="00095E35" w:rsidRDefault="00095E35" w:rsidP="00095E35">
            <w:pPr>
              <w:spacing w:before="60" w:after="60"/>
              <w:jc w:val="right"/>
              <w:rPr>
                <w:rFonts w:ascii="Calibri" w:hAnsi="Calibri" w:cs="Arial"/>
                <w:color w:val="002060"/>
                <w:sz w:val="20"/>
                <w:szCs w:val="20"/>
              </w:rPr>
            </w:pPr>
            <w:r w:rsidRPr="00095E35">
              <w:rPr>
                <w:rFonts w:ascii="Calibri" w:hAnsi="Calibri" w:cs="Arial"/>
                <w:color w:val="002060"/>
                <w:sz w:val="20"/>
                <w:szCs w:val="20"/>
              </w:rPr>
              <w:t>3.000</w:t>
            </w:r>
          </w:p>
        </w:tc>
      </w:tr>
      <w:tr w:rsidR="00095E35" w:rsidTr="00935E87">
        <w:tc>
          <w:tcPr>
            <w:tcW w:w="3539" w:type="dxa"/>
          </w:tcPr>
          <w:p w:rsidR="00095E35" w:rsidRPr="00095E35" w:rsidRDefault="00095E35" w:rsidP="00095E35">
            <w:pPr>
              <w:spacing w:before="60" w:after="60"/>
              <w:rPr>
                <w:rFonts w:ascii="Calibri" w:hAnsi="Calibri" w:cs="Arial"/>
                <w:color w:val="002060"/>
                <w:sz w:val="20"/>
                <w:szCs w:val="20"/>
              </w:rPr>
            </w:pPr>
            <w:r w:rsidRPr="00095E35">
              <w:rPr>
                <w:rFonts w:ascii="Calibri" w:hAnsi="Calibri" w:cs="Arial"/>
                <w:color w:val="002060"/>
                <w:sz w:val="20"/>
                <w:szCs w:val="20"/>
              </w:rPr>
              <w:t>Emprunt</w:t>
            </w:r>
          </w:p>
        </w:tc>
        <w:tc>
          <w:tcPr>
            <w:tcW w:w="1701" w:type="dxa"/>
          </w:tcPr>
          <w:p w:rsidR="00095E35" w:rsidRPr="00095E35" w:rsidRDefault="00095E35" w:rsidP="00095E35">
            <w:pPr>
              <w:spacing w:before="60" w:after="60"/>
              <w:jc w:val="right"/>
              <w:rPr>
                <w:rFonts w:ascii="Calibri" w:hAnsi="Calibri" w:cs="Arial"/>
                <w:color w:val="002060"/>
                <w:sz w:val="20"/>
                <w:szCs w:val="20"/>
              </w:rPr>
            </w:pPr>
            <w:r w:rsidRPr="00095E35">
              <w:rPr>
                <w:rFonts w:ascii="Calibri" w:hAnsi="Calibri" w:cs="Arial"/>
                <w:color w:val="002060"/>
                <w:sz w:val="20"/>
                <w:szCs w:val="20"/>
              </w:rPr>
              <w:t>0</w:t>
            </w:r>
          </w:p>
        </w:tc>
        <w:tc>
          <w:tcPr>
            <w:tcW w:w="1701" w:type="dxa"/>
          </w:tcPr>
          <w:p w:rsidR="00095E35" w:rsidRPr="00095E35" w:rsidRDefault="00095E35" w:rsidP="00095E35">
            <w:pPr>
              <w:spacing w:before="60" w:after="60"/>
              <w:jc w:val="right"/>
              <w:rPr>
                <w:rFonts w:ascii="Calibri" w:hAnsi="Calibri" w:cs="Arial"/>
                <w:color w:val="002060"/>
                <w:sz w:val="20"/>
                <w:szCs w:val="20"/>
              </w:rPr>
            </w:pPr>
            <w:r w:rsidRPr="00095E35">
              <w:rPr>
                <w:rFonts w:ascii="Calibri" w:hAnsi="Calibri" w:cs="Arial"/>
                <w:color w:val="002060"/>
                <w:sz w:val="20"/>
                <w:szCs w:val="20"/>
              </w:rPr>
              <w:t>12.000</w:t>
            </w:r>
          </w:p>
        </w:tc>
      </w:tr>
      <w:tr w:rsidR="00095E35" w:rsidTr="00935E87">
        <w:tc>
          <w:tcPr>
            <w:tcW w:w="3539" w:type="dxa"/>
          </w:tcPr>
          <w:p w:rsidR="00095E35" w:rsidRPr="00095E35" w:rsidRDefault="00095E35" w:rsidP="00095E35">
            <w:pPr>
              <w:spacing w:before="60" w:after="60"/>
              <w:rPr>
                <w:rFonts w:ascii="Calibri" w:hAnsi="Calibri" w:cs="Arial"/>
                <w:color w:val="002060"/>
                <w:sz w:val="20"/>
                <w:szCs w:val="20"/>
              </w:rPr>
            </w:pPr>
            <w:r w:rsidRPr="00095E35">
              <w:rPr>
                <w:rFonts w:ascii="Calibri" w:hAnsi="Calibri" w:cs="Arial"/>
                <w:color w:val="002060"/>
                <w:sz w:val="20"/>
                <w:szCs w:val="20"/>
              </w:rPr>
              <w:t>Bénéfice brut</w:t>
            </w:r>
            <w:r>
              <w:rPr>
                <w:rFonts w:ascii="Calibri" w:hAnsi="Calibri" w:cs="Arial"/>
                <w:color w:val="002060"/>
                <w:sz w:val="20"/>
                <w:szCs w:val="20"/>
              </w:rPr>
              <w:t xml:space="preserve"> (15.000 x 15%)</w:t>
            </w:r>
          </w:p>
        </w:tc>
        <w:tc>
          <w:tcPr>
            <w:tcW w:w="1701" w:type="dxa"/>
          </w:tcPr>
          <w:p w:rsidR="00095E35" w:rsidRPr="00095E35" w:rsidRDefault="00095E35" w:rsidP="00095E35">
            <w:pPr>
              <w:spacing w:before="60" w:after="60"/>
              <w:jc w:val="right"/>
              <w:rPr>
                <w:rFonts w:ascii="Calibri" w:hAnsi="Calibri" w:cs="Arial"/>
                <w:color w:val="002060"/>
                <w:sz w:val="20"/>
                <w:szCs w:val="20"/>
              </w:rPr>
            </w:pPr>
            <w:r w:rsidRPr="00095E35">
              <w:rPr>
                <w:rFonts w:ascii="Calibri" w:hAnsi="Calibri" w:cs="Arial"/>
                <w:color w:val="002060"/>
                <w:sz w:val="20"/>
                <w:szCs w:val="20"/>
              </w:rPr>
              <w:t>2.250</w:t>
            </w:r>
          </w:p>
        </w:tc>
        <w:tc>
          <w:tcPr>
            <w:tcW w:w="1701" w:type="dxa"/>
          </w:tcPr>
          <w:p w:rsidR="00095E35" w:rsidRPr="00095E35" w:rsidRDefault="00095E35" w:rsidP="00095E35">
            <w:pPr>
              <w:spacing w:before="60" w:after="60"/>
              <w:jc w:val="right"/>
              <w:rPr>
                <w:rFonts w:ascii="Calibri" w:hAnsi="Calibri" w:cs="Arial"/>
                <w:color w:val="002060"/>
                <w:sz w:val="20"/>
                <w:szCs w:val="20"/>
              </w:rPr>
            </w:pPr>
            <w:r w:rsidRPr="00095E35">
              <w:rPr>
                <w:rFonts w:ascii="Calibri" w:hAnsi="Calibri" w:cs="Arial"/>
                <w:color w:val="002060"/>
                <w:sz w:val="20"/>
                <w:szCs w:val="20"/>
              </w:rPr>
              <w:t>2.250</w:t>
            </w:r>
          </w:p>
        </w:tc>
      </w:tr>
      <w:tr w:rsidR="00095E35" w:rsidTr="00935E87">
        <w:tc>
          <w:tcPr>
            <w:tcW w:w="3539" w:type="dxa"/>
            <w:vAlign w:val="center"/>
          </w:tcPr>
          <w:p w:rsidR="00095E35" w:rsidRPr="00095E35" w:rsidRDefault="00095E35" w:rsidP="00095E35">
            <w:pPr>
              <w:spacing w:before="60" w:after="60"/>
              <w:rPr>
                <w:rFonts w:ascii="Calibri" w:hAnsi="Calibri" w:cs="Arial"/>
                <w:color w:val="002060"/>
                <w:sz w:val="20"/>
                <w:szCs w:val="20"/>
              </w:rPr>
            </w:pPr>
            <w:r w:rsidRPr="00095E35">
              <w:rPr>
                <w:rFonts w:ascii="Calibri" w:hAnsi="Calibri" w:cs="Arial"/>
                <w:color w:val="002060"/>
                <w:sz w:val="20"/>
                <w:szCs w:val="20"/>
              </w:rPr>
              <w:t>Coût de l’emprunt</w:t>
            </w:r>
          </w:p>
        </w:tc>
        <w:tc>
          <w:tcPr>
            <w:tcW w:w="1701" w:type="dxa"/>
            <w:vAlign w:val="center"/>
          </w:tcPr>
          <w:p w:rsidR="00095E35" w:rsidRPr="00095E35" w:rsidRDefault="00095E35" w:rsidP="00095E35">
            <w:pPr>
              <w:spacing w:before="60" w:after="60"/>
              <w:jc w:val="right"/>
              <w:rPr>
                <w:rFonts w:ascii="Calibri" w:hAnsi="Calibri" w:cs="Arial"/>
                <w:color w:val="002060"/>
                <w:sz w:val="20"/>
                <w:szCs w:val="20"/>
              </w:rPr>
            </w:pPr>
            <w:r w:rsidRPr="00095E35">
              <w:rPr>
                <w:rFonts w:ascii="Calibri" w:hAnsi="Calibri" w:cs="Arial"/>
                <w:color w:val="002060"/>
                <w:sz w:val="20"/>
                <w:szCs w:val="20"/>
              </w:rPr>
              <w:t>0</w:t>
            </w:r>
          </w:p>
        </w:tc>
        <w:tc>
          <w:tcPr>
            <w:tcW w:w="1701" w:type="dxa"/>
          </w:tcPr>
          <w:p w:rsidR="00095E35" w:rsidRPr="00095E35" w:rsidRDefault="00095E35" w:rsidP="00095E35">
            <w:pPr>
              <w:spacing w:before="60"/>
              <w:jc w:val="right"/>
              <w:rPr>
                <w:rFonts w:ascii="Calibri" w:hAnsi="Calibri" w:cs="Arial"/>
                <w:color w:val="002060"/>
                <w:sz w:val="20"/>
                <w:szCs w:val="20"/>
              </w:rPr>
            </w:pPr>
            <w:r w:rsidRPr="00095E35">
              <w:rPr>
                <w:rFonts w:ascii="Calibri" w:hAnsi="Calibri" w:cs="Arial"/>
                <w:color w:val="002060"/>
                <w:sz w:val="20"/>
                <w:szCs w:val="20"/>
              </w:rPr>
              <w:t>960</w:t>
            </w:r>
          </w:p>
          <w:p w:rsidR="00095E35" w:rsidRPr="00095E35" w:rsidRDefault="00095E35" w:rsidP="00095E35">
            <w:pPr>
              <w:spacing w:after="60"/>
              <w:jc w:val="right"/>
              <w:rPr>
                <w:rFonts w:ascii="Calibri" w:hAnsi="Calibri" w:cs="Arial"/>
                <w:color w:val="002060"/>
                <w:sz w:val="20"/>
                <w:szCs w:val="20"/>
              </w:rPr>
            </w:pPr>
            <w:r w:rsidRPr="00095E35">
              <w:rPr>
                <w:rFonts w:ascii="Calibri" w:hAnsi="Calibri" w:cs="Arial"/>
                <w:color w:val="002060"/>
                <w:sz w:val="20"/>
                <w:szCs w:val="20"/>
              </w:rPr>
              <w:t>(12.000 x 8%)</w:t>
            </w:r>
          </w:p>
        </w:tc>
      </w:tr>
      <w:tr w:rsidR="00095E35" w:rsidTr="00935E87">
        <w:tc>
          <w:tcPr>
            <w:tcW w:w="3539" w:type="dxa"/>
          </w:tcPr>
          <w:p w:rsidR="00095E35" w:rsidRPr="00095E35" w:rsidRDefault="00095E35" w:rsidP="00095E35">
            <w:pPr>
              <w:spacing w:before="60" w:after="60"/>
              <w:rPr>
                <w:rFonts w:ascii="Calibri" w:hAnsi="Calibri" w:cs="Arial"/>
                <w:color w:val="002060"/>
                <w:sz w:val="20"/>
                <w:szCs w:val="20"/>
              </w:rPr>
            </w:pPr>
            <w:r w:rsidRPr="00095E35">
              <w:rPr>
                <w:rFonts w:ascii="Calibri" w:hAnsi="Calibri" w:cs="Arial"/>
                <w:color w:val="002060"/>
                <w:sz w:val="20"/>
                <w:szCs w:val="20"/>
              </w:rPr>
              <w:t>Bénéfice après charges financières</w:t>
            </w:r>
          </w:p>
        </w:tc>
        <w:tc>
          <w:tcPr>
            <w:tcW w:w="1701" w:type="dxa"/>
          </w:tcPr>
          <w:p w:rsidR="00095E35" w:rsidRPr="00095E35" w:rsidRDefault="00935E87" w:rsidP="00095E35">
            <w:pPr>
              <w:spacing w:before="60" w:after="60"/>
              <w:jc w:val="right"/>
              <w:rPr>
                <w:rFonts w:ascii="Calibri" w:hAnsi="Calibri" w:cs="Arial"/>
                <w:color w:val="002060"/>
                <w:sz w:val="20"/>
                <w:szCs w:val="20"/>
              </w:rPr>
            </w:pPr>
            <w:r>
              <w:rPr>
                <w:rFonts w:ascii="Calibri" w:hAnsi="Calibri" w:cs="Arial"/>
                <w:color w:val="002060"/>
                <w:sz w:val="20"/>
                <w:szCs w:val="20"/>
              </w:rPr>
              <w:t>2.250</w:t>
            </w:r>
          </w:p>
        </w:tc>
        <w:tc>
          <w:tcPr>
            <w:tcW w:w="1701" w:type="dxa"/>
          </w:tcPr>
          <w:p w:rsidR="00095E35" w:rsidRPr="00095E35" w:rsidRDefault="00935E87" w:rsidP="00095E35">
            <w:pPr>
              <w:spacing w:before="60" w:after="60"/>
              <w:jc w:val="right"/>
              <w:rPr>
                <w:rFonts w:ascii="Calibri" w:hAnsi="Calibri" w:cs="Arial"/>
                <w:color w:val="002060"/>
                <w:sz w:val="20"/>
                <w:szCs w:val="20"/>
              </w:rPr>
            </w:pPr>
            <w:r>
              <w:rPr>
                <w:rFonts w:ascii="Calibri" w:hAnsi="Calibri" w:cs="Arial"/>
                <w:color w:val="002060"/>
                <w:sz w:val="20"/>
                <w:szCs w:val="20"/>
              </w:rPr>
              <w:t>1.290</w:t>
            </w:r>
          </w:p>
        </w:tc>
      </w:tr>
      <w:tr w:rsidR="00095E35" w:rsidTr="00935E87">
        <w:tc>
          <w:tcPr>
            <w:tcW w:w="3539" w:type="dxa"/>
            <w:shd w:val="clear" w:color="auto" w:fill="FFFFCC"/>
            <w:vAlign w:val="center"/>
          </w:tcPr>
          <w:p w:rsidR="00095E35" w:rsidRPr="00935E87" w:rsidRDefault="00095E35" w:rsidP="00935E87">
            <w:pPr>
              <w:spacing w:before="60" w:after="60"/>
              <w:rPr>
                <w:rFonts w:ascii="Calibri" w:hAnsi="Calibri" w:cs="Arial"/>
                <w:b/>
                <w:i/>
                <w:color w:val="002060"/>
                <w:sz w:val="20"/>
                <w:szCs w:val="20"/>
              </w:rPr>
            </w:pPr>
            <w:r w:rsidRPr="00935E87">
              <w:rPr>
                <w:rFonts w:ascii="Calibri" w:hAnsi="Calibri" w:cs="Arial"/>
                <w:b/>
                <w:i/>
                <w:color w:val="002060"/>
                <w:sz w:val="20"/>
                <w:szCs w:val="20"/>
              </w:rPr>
              <w:t>Taux de rentabilité des capitaux investis</w:t>
            </w:r>
          </w:p>
        </w:tc>
        <w:tc>
          <w:tcPr>
            <w:tcW w:w="1701" w:type="dxa"/>
            <w:shd w:val="clear" w:color="auto" w:fill="FFFFCC"/>
          </w:tcPr>
          <w:p w:rsidR="00935E87" w:rsidRPr="00935E87" w:rsidRDefault="00935E87" w:rsidP="00935E87">
            <w:pPr>
              <w:spacing w:before="60"/>
              <w:jc w:val="center"/>
              <w:rPr>
                <w:rFonts w:ascii="Calibri" w:hAnsi="Calibri" w:cs="Arial"/>
                <w:b/>
                <w:i/>
                <w:color w:val="002060"/>
                <w:sz w:val="20"/>
                <w:szCs w:val="20"/>
              </w:rPr>
            </w:pPr>
            <w:r w:rsidRPr="00935E87">
              <w:rPr>
                <w:rFonts w:ascii="Calibri" w:hAnsi="Calibri" w:cs="Arial"/>
                <w:b/>
                <w:i/>
                <w:color w:val="002060"/>
                <w:sz w:val="20"/>
                <w:szCs w:val="20"/>
              </w:rPr>
              <w:t>15%</w:t>
            </w:r>
          </w:p>
          <w:p w:rsidR="00095E35" w:rsidRDefault="00935E87" w:rsidP="00935E87">
            <w:pPr>
              <w:spacing w:after="60"/>
              <w:jc w:val="center"/>
              <w:rPr>
                <w:rFonts w:ascii="Calibri" w:hAnsi="Calibri" w:cs="Arial"/>
                <w:b/>
                <w:color w:val="002060"/>
                <w:sz w:val="20"/>
                <w:szCs w:val="20"/>
              </w:rPr>
            </w:pPr>
            <w:r w:rsidRPr="00935E87">
              <w:rPr>
                <w:rFonts w:ascii="Calibri" w:hAnsi="Calibri" w:cs="Arial"/>
                <w:color w:val="002060"/>
                <w:sz w:val="20"/>
                <w:szCs w:val="20"/>
              </w:rPr>
              <w:t>(2.250/15.000)</w:t>
            </w:r>
          </w:p>
        </w:tc>
        <w:tc>
          <w:tcPr>
            <w:tcW w:w="1701" w:type="dxa"/>
            <w:shd w:val="clear" w:color="auto" w:fill="FFFFCC"/>
          </w:tcPr>
          <w:p w:rsidR="00935E87" w:rsidRPr="00935E87" w:rsidRDefault="00935E87" w:rsidP="00935E87">
            <w:pPr>
              <w:spacing w:before="60"/>
              <w:jc w:val="center"/>
              <w:rPr>
                <w:rFonts w:ascii="Calibri" w:hAnsi="Calibri" w:cs="Arial"/>
                <w:b/>
                <w:i/>
                <w:color w:val="002060"/>
                <w:sz w:val="20"/>
                <w:szCs w:val="20"/>
              </w:rPr>
            </w:pPr>
            <w:r w:rsidRPr="00935E87">
              <w:rPr>
                <w:rFonts w:ascii="Calibri" w:hAnsi="Calibri" w:cs="Arial"/>
                <w:b/>
                <w:i/>
                <w:color w:val="002060"/>
                <w:sz w:val="20"/>
                <w:szCs w:val="20"/>
              </w:rPr>
              <w:t>43%</w:t>
            </w:r>
          </w:p>
          <w:p w:rsidR="00095E35" w:rsidRDefault="00935E87" w:rsidP="00935E87">
            <w:pPr>
              <w:spacing w:after="60"/>
              <w:jc w:val="center"/>
              <w:rPr>
                <w:rFonts w:ascii="Calibri" w:hAnsi="Calibri" w:cs="Arial"/>
                <w:b/>
                <w:color w:val="002060"/>
                <w:sz w:val="20"/>
                <w:szCs w:val="20"/>
              </w:rPr>
            </w:pPr>
            <w:r w:rsidRPr="00935E87">
              <w:rPr>
                <w:rFonts w:ascii="Calibri" w:hAnsi="Calibri" w:cs="Arial"/>
                <w:color w:val="002060"/>
                <w:sz w:val="20"/>
                <w:szCs w:val="20"/>
              </w:rPr>
              <w:t>(1.290/3.000)</w:t>
            </w:r>
          </w:p>
        </w:tc>
      </w:tr>
    </w:tbl>
    <w:p w:rsidR="00C03758" w:rsidRDefault="0079706F" w:rsidP="00935E87">
      <w:pPr>
        <w:spacing w:before="120"/>
        <w:jc w:val="both"/>
        <w:rPr>
          <w:rFonts w:ascii="Calibri" w:hAnsi="Calibri" w:cs="Arial"/>
          <w:color w:val="002060"/>
          <w:sz w:val="20"/>
          <w:szCs w:val="20"/>
        </w:rPr>
      </w:pPr>
      <w:r w:rsidRPr="0079343E">
        <w:rPr>
          <w:rFonts w:ascii="Calibri" w:hAnsi="Calibri" w:cs="Arial"/>
          <w:b/>
          <w:color w:val="002060"/>
          <w:sz w:val="20"/>
          <w:szCs w:val="20"/>
        </w:rPr>
        <w:t>Attention</w:t>
      </w:r>
      <w:r w:rsidR="00C03758">
        <w:rPr>
          <w:rFonts w:ascii="Calibri" w:hAnsi="Calibri" w:cs="Arial"/>
          <w:b/>
          <w:color w:val="002060"/>
          <w:sz w:val="20"/>
          <w:szCs w:val="20"/>
        </w:rPr>
        <w:t> :</w:t>
      </w:r>
      <w:r w:rsidRPr="0079343E">
        <w:rPr>
          <w:rFonts w:ascii="Calibri" w:hAnsi="Calibri" w:cs="Arial"/>
          <w:color w:val="002060"/>
          <w:sz w:val="20"/>
          <w:szCs w:val="20"/>
        </w:rPr>
        <w:t xml:space="preserve"> la recherche d'une meilleure rentabilité financière ne doit pas menacer la rentabilité économique de votre entreprise. Il faut donc vérifier que la rentabilité de l'investissement est bien supérieure au coût de l'emprunt ! </w:t>
      </w:r>
    </w:p>
    <w:p w:rsidR="0079706F" w:rsidRPr="0079343E" w:rsidRDefault="0079706F" w:rsidP="00CF2BFE">
      <w:pPr>
        <w:spacing w:after="60"/>
        <w:jc w:val="both"/>
        <w:rPr>
          <w:rFonts w:ascii="Calibri" w:hAnsi="Calibri" w:cs="Arial"/>
          <w:color w:val="002060"/>
          <w:sz w:val="20"/>
          <w:szCs w:val="20"/>
        </w:rPr>
      </w:pPr>
      <w:r w:rsidRPr="0079343E">
        <w:rPr>
          <w:rFonts w:ascii="Calibri" w:hAnsi="Calibri" w:cs="Arial"/>
          <w:color w:val="002060"/>
          <w:sz w:val="20"/>
          <w:szCs w:val="20"/>
        </w:rPr>
        <w:t>À défaut, vous risquez de faire passer votre résultat dans le rouge et de mettre en péril votre entreprise.</w:t>
      </w:r>
    </w:p>
    <w:p w:rsidR="0079706F" w:rsidRPr="0079343E" w:rsidRDefault="0079706F" w:rsidP="00F12821">
      <w:pPr>
        <w:spacing w:after="120"/>
        <w:jc w:val="both"/>
        <w:rPr>
          <w:rFonts w:ascii="Calibri" w:hAnsi="Calibri" w:cs="Arial"/>
          <w:color w:val="002060"/>
          <w:sz w:val="20"/>
          <w:szCs w:val="20"/>
        </w:rPr>
      </w:pPr>
      <w:r w:rsidRPr="0079343E">
        <w:rPr>
          <w:rFonts w:ascii="Calibri" w:hAnsi="Calibri" w:cs="Arial"/>
          <w:color w:val="002060"/>
          <w:sz w:val="20"/>
          <w:szCs w:val="20"/>
        </w:rPr>
        <w:t xml:space="preserve">Il convient de vous assurer ensuite que l'impact de votre choix de recourir à l'emprunt plutôt qu'à l'autofinancement ne réduise pas trop le résultat (qui passe dans notre exemple de 2 250 € à 1 290 €). Assurez-vous aussi que la capacité d'autofinancement prévisionnelle de votre entreprise (résultat net </w:t>
      </w:r>
      <w:r w:rsidR="00C03758">
        <w:rPr>
          <w:rFonts w:ascii="Calibri" w:hAnsi="Calibri" w:cs="Arial"/>
          <w:color w:val="002060"/>
          <w:sz w:val="20"/>
          <w:szCs w:val="20"/>
        </w:rPr>
        <w:t xml:space="preserve">+ </w:t>
      </w:r>
      <w:r w:rsidRPr="0079343E">
        <w:rPr>
          <w:rFonts w:ascii="Calibri" w:hAnsi="Calibri" w:cs="Arial"/>
          <w:color w:val="002060"/>
          <w:sz w:val="20"/>
          <w:szCs w:val="20"/>
        </w:rPr>
        <w:t>dotations aux amortissements après investissement par emprunt) vous permettra de faire face aux échéances en capital de l'emprunt sans créer de tensions financières excessives.</w:t>
      </w:r>
    </w:p>
    <w:p w:rsidR="0079706F" w:rsidRPr="00576C96" w:rsidRDefault="0079706F" w:rsidP="00CF2BFE">
      <w:pPr>
        <w:spacing w:after="60"/>
        <w:jc w:val="both"/>
        <w:rPr>
          <w:rFonts w:ascii="Calibri" w:hAnsi="Calibri" w:cs="Arial"/>
          <w:color w:val="002060"/>
          <w:sz w:val="21"/>
          <w:szCs w:val="21"/>
        </w:rPr>
      </w:pPr>
      <w:r w:rsidRPr="00576C96">
        <w:rPr>
          <w:rStyle w:val="lev"/>
          <w:rFonts w:ascii="Calibri" w:hAnsi="Calibri" w:cs="Arial"/>
          <w:color w:val="002060"/>
          <w:sz w:val="21"/>
          <w:szCs w:val="21"/>
        </w:rPr>
        <w:t>Contrôlez le coût réel de votre emprunt</w:t>
      </w:r>
    </w:p>
    <w:p w:rsidR="0079706F" w:rsidRPr="0079343E" w:rsidRDefault="0079706F" w:rsidP="00CF2BFE">
      <w:pPr>
        <w:spacing w:after="60"/>
        <w:jc w:val="both"/>
        <w:rPr>
          <w:rFonts w:ascii="Calibri" w:hAnsi="Calibri" w:cs="Arial"/>
          <w:color w:val="002060"/>
          <w:sz w:val="20"/>
          <w:szCs w:val="20"/>
        </w:rPr>
      </w:pPr>
      <w:r w:rsidRPr="0079343E">
        <w:rPr>
          <w:rFonts w:ascii="Calibri" w:hAnsi="Calibri" w:cs="Arial"/>
          <w:color w:val="002060"/>
          <w:sz w:val="20"/>
          <w:szCs w:val="20"/>
        </w:rPr>
        <w:t>Les taux d'intérêt actuellement pratiqués sont relativement attractifs. Mais ne vous polarisez pas uniquement sur le taux d'intérêt. Préférez-lui le Taux Effectif Global qui comprend les coûts accessoires à l'emprunt (assurances, frais de dossier, commissions diverses...). Et accordez une attention toute particulière aux garanties exigées par votre banquier. Dans cette optique, ne vous bloquez pas sur les frais des garanties réelles (nantissement, hypothèque...), car ces sûretés peuvent vous permettre d'échapper à un engagement de caution personnelle beaucoup plus dangereux pour vous à titre personnel.</w:t>
      </w:r>
    </w:p>
    <w:p w:rsidR="0079706F" w:rsidRPr="0079343E" w:rsidRDefault="0079706F" w:rsidP="00F12821">
      <w:pPr>
        <w:spacing w:after="120"/>
        <w:jc w:val="both"/>
        <w:rPr>
          <w:rFonts w:ascii="Calibri" w:hAnsi="Calibri" w:cs="Arial"/>
          <w:color w:val="002060"/>
          <w:sz w:val="20"/>
          <w:szCs w:val="20"/>
        </w:rPr>
      </w:pPr>
      <w:r w:rsidRPr="0079343E">
        <w:rPr>
          <w:rFonts w:ascii="Calibri" w:hAnsi="Calibri" w:cs="Arial"/>
          <w:color w:val="002060"/>
          <w:sz w:val="20"/>
          <w:szCs w:val="20"/>
        </w:rPr>
        <w:t>En pratique attention à ne pas allonger inutilement la durée de l'emprunt. Mieux, la réduction de sa durée peut vous permettre de réaliser de substantielles économies !</w:t>
      </w:r>
    </w:p>
    <w:p w:rsidR="0079706F" w:rsidRPr="00576C96" w:rsidRDefault="0079706F" w:rsidP="00CF2BFE">
      <w:pPr>
        <w:spacing w:after="60"/>
        <w:jc w:val="both"/>
        <w:rPr>
          <w:rFonts w:ascii="Calibri" w:hAnsi="Calibri" w:cs="Arial"/>
          <w:color w:val="002060"/>
          <w:sz w:val="21"/>
          <w:szCs w:val="21"/>
        </w:rPr>
      </w:pPr>
      <w:r w:rsidRPr="00576C96">
        <w:rPr>
          <w:rStyle w:val="lev"/>
          <w:rFonts w:ascii="Calibri" w:hAnsi="Calibri" w:cs="Arial"/>
          <w:color w:val="002060"/>
          <w:sz w:val="21"/>
          <w:szCs w:val="21"/>
        </w:rPr>
        <w:t>Quelle est l'incidence fiscale de votre choix ?</w:t>
      </w:r>
    </w:p>
    <w:p w:rsidR="0079706F" w:rsidRPr="0079343E" w:rsidRDefault="0079706F" w:rsidP="00CF2BFE">
      <w:pPr>
        <w:spacing w:after="60"/>
        <w:jc w:val="both"/>
        <w:rPr>
          <w:rFonts w:ascii="Calibri" w:hAnsi="Calibri" w:cs="Arial"/>
          <w:color w:val="002060"/>
          <w:sz w:val="20"/>
          <w:szCs w:val="20"/>
        </w:rPr>
      </w:pPr>
      <w:r w:rsidRPr="0079343E">
        <w:rPr>
          <w:rFonts w:ascii="Calibri" w:hAnsi="Calibri" w:cs="Arial"/>
          <w:color w:val="002060"/>
          <w:sz w:val="20"/>
          <w:szCs w:val="20"/>
        </w:rPr>
        <w:t xml:space="preserve">L'autofinancement ne génère aucun frais supplémentaire du point de vue </w:t>
      </w:r>
      <w:smartTag w:uri="urn:schemas-microsoft-com:office:smarttags" w:element="PersonName">
        <w:r w:rsidRPr="0079343E">
          <w:rPr>
            <w:rFonts w:ascii="Calibri" w:hAnsi="Calibri" w:cs="Arial"/>
            <w:color w:val="002060"/>
            <w:sz w:val="20"/>
            <w:szCs w:val="20"/>
          </w:rPr>
          <w:t>compta</w:t>
        </w:r>
      </w:smartTag>
      <w:r w:rsidRPr="0079343E">
        <w:rPr>
          <w:rFonts w:ascii="Calibri" w:hAnsi="Calibri" w:cs="Arial"/>
          <w:color w:val="002060"/>
          <w:sz w:val="20"/>
          <w:szCs w:val="20"/>
        </w:rPr>
        <w:t>ble et fiscal. Vous ne pouvez que déduire l'amortissement du bien acquis sur sa durée normale d'utilisation.</w:t>
      </w:r>
    </w:p>
    <w:p w:rsidR="0079706F" w:rsidRPr="0079343E" w:rsidRDefault="0079706F" w:rsidP="00CF2BFE">
      <w:pPr>
        <w:spacing w:after="60"/>
        <w:jc w:val="both"/>
        <w:rPr>
          <w:rFonts w:ascii="Calibri" w:hAnsi="Calibri" w:cs="Arial"/>
          <w:color w:val="002060"/>
          <w:sz w:val="20"/>
          <w:szCs w:val="20"/>
        </w:rPr>
      </w:pPr>
      <w:r w:rsidRPr="0079343E">
        <w:rPr>
          <w:rFonts w:ascii="Calibri" w:hAnsi="Calibri" w:cs="Arial"/>
          <w:color w:val="002060"/>
          <w:sz w:val="20"/>
          <w:szCs w:val="20"/>
        </w:rPr>
        <w:t>À l'inverse, le financement par emprunt vous permet de déduire, en plus de l'amortissement, les intérêts courus sur l'exercice. Ainsi, cette déduction fiscale vous permet d'atténuer le coût du crédit. Et plus l'économie d'impôt sur vos bénéfices générée par la déduction des intérêts est importante, plus le coût réel " net fiscal " du crédit est faible et plus vous avez intérêt à emprunter.</w:t>
      </w:r>
    </w:p>
    <w:p w:rsidR="0079706F" w:rsidRPr="0079343E" w:rsidRDefault="0079706F" w:rsidP="004203B6">
      <w:pPr>
        <w:spacing w:after="120"/>
        <w:jc w:val="both"/>
        <w:rPr>
          <w:rFonts w:ascii="Calibri" w:hAnsi="Calibri" w:cs="Arial"/>
          <w:color w:val="002060"/>
          <w:sz w:val="20"/>
          <w:szCs w:val="20"/>
        </w:rPr>
      </w:pPr>
      <w:r w:rsidRPr="0079343E">
        <w:rPr>
          <w:rFonts w:ascii="Calibri" w:hAnsi="Calibri" w:cs="Arial"/>
          <w:color w:val="002060"/>
          <w:sz w:val="20"/>
          <w:szCs w:val="20"/>
        </w:rPr>
        <w:t>Attention seuls les intérêts sont déductibles. La partie de vos mensualités qui correspond au remboursement du capital ne l'est pas. Selon le choix du mode de remboursement, constant ou progressif, avec différé ou non, le coût fiscal annuel de l'emprunt peut être totalement différent. Pensez-y !</w:t>
      </w:r>
    </w:p>
    <w:p w:rsidR="005A58FD" w:rsidRPr="00576C96" w:rsidRDefault="0079706F" w:rsidP="005A58FD">
      <w:pPr>
        <w:spacing w:after="60"/>
        <w:jc w:val="both"/>
        <w:rPr>
          <w:rFonts w:ascii="Calibri" w:hAnsi="Calibri" w:cs="Arial"/>
          <w:color w:val="002060"/>
          <w:sz w:val="21"/>
          <w:szCs w:val="21"/>
        </w:rPr>
      </w:pPr>
      <w:r w:rsidRPr="00576C96">
        <w:rPr>
          <w:rFonts w:ascii="Calibri" w:hAnsi="Calibri" w:cs="Arial"/>
          <w:b/>
          <w:color w:val="002060"/>
          <w:sz w:val="21"/>
          <w:szCs w:val="21"/>
        </w:rPr>
        <w:t>Conclusion</w:t>
      </w:r>
      <w:r w:rsidR="00CF2BFE" w:rsidRPr="00576C96">
        <w:rPr>
          <w:rFonts w:ascii="Calibri" w:hAnsi="Calibri" w:cs="Arial"/>
          <w:b/>
          <w:color w:val="002060"/>
          <w:sz w:val="21"/>
          <w:szCs w:val="21"/>
        </w:rPr>
        <w:t> :</w:t>
      </w:r>
      <w:r w:rsidRPr="00576C96">
        <w:rPr>
          <w:rFonts w:ascii="Calibri" w:hAnsi="Calibri" w:cs="Arial"/>
          <w:color w:val="002060"/>
          <w:sz w:val="21"/>
          <w:szCs w:val="21"/>
        </w:rPr>
        <w:t xml:space="preserve"> </w:t>
      </w:r>
    </w:p>
    <w:p w:rsidR="0079706F" w:rsidRPr="0079343E" w:rsidRDefault="002C0645" w:rsidP="00F12821">
      <w:pPr>
        <w:jc w:val="both"/>
        <w:rPr>
          <w:rFonts w:ascii="Calibri" w:hAnsi="Calibri" w:cs="Arial"/>
          <w:color w:val="002060"/>
          <w:sz w:val="20"/>
          <w:szCs w:val="20"/>
        </w:rPr>
      </w:pPr>
      <w:r w:rsidRPr="0079343E">
        <w:rPr>
          <w:rFonts w:ascii="Calibri" w:hAnsi="Calibri" w:cs="Arial"/>
          <w:color w:val="002060"/>
          <w:sz w:val="20"/>
          <w:szCs w:val="20"/>
        </w:rPr>
        <w:t>Le</w:t>
      </w:r>
      <w:r w:rsidR="0079706F" w:rsidRPr="0079343E">
        <w:rPr>
          <w:rFonts w:ascii="Calibri" w:hAnsi="Calibri" w:cs="Arial"/>
          <w:color w:val="002060"/>
          <w:sz w:val="20"/>
          <w:szCs w:val="20"/>
        </w:rPr>
        <w:t xml:space="preserve"> taux que vous pouvez aujourd'hui obtenir de votre banquier et l'effet de levier financier et fiscal attaché à l'endettement peuvent légitimement vous inciter à garder intactes vos réserves de trésorerie. Vous disposerez alors d'une poire pour la soif qui vous mettra en position de faire face aux imprévus.</w:t>
      </w:r>
    </w:p>
    <w:p w:rsidR="00822DCB" w:rsidRPr="0079343E" w:rsidRDefault="00822DCB" w:rsidP="00F12821">
      <w:pPr>
        <w:rPr>
          <w:color w:val="002060"/>
          <w:sz w:val="22"/>
          <w:szCs w:val="22"/>
        </w:rPr>
      </w:pPr>
    </w:p>
    <w:sectPr w:rsidR="00822DCB" w:rsidRPr="0079343E" w:rsidSect="00353DA8">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06F"/>
    <w:rsid w:val="00076C93"/>
    <w:rsid w:val="00095E35"/>
    <w:rsid w:val="000A3481"/>
    <w:rsid w:val="00251BDB"/>
    <w:rsid w:val="002C0645"/>
    <w:rsid w:val="00353DA8"/>
    <w:rsid w:val="004203B6"/>
    <w:rsid w:val="00421C53"/>
    <w:rsid w:val="004236F7"/>
    <w:rsid w:val="004334FF"/>
    <w:rsid w:val="004C04F1"/>
    <w:rsid w:val="00576C96"/>
    <w:rsid w:val="005A58FD"/>
    <w:rsid w:val="00761AB6"/>
    <w:rsid w:val="0079343E"/>
    <w:rsid w:val="0079706F"/>
    <w:rsid w:val="00822DCB"/>
    <w:rsid w:val="00835127"/>
    <w:rsid w:val="008442BF"/>
    <w:rsid w:val="00851244"/>
    <w:rsid w:val="00935E87"/>
    <w:rsid w:val="00981C86"/>
    <w:rsid w:val="00AA076D"/>
    <w:rsid w:val="00AF665B"/>
    <w:rsid w:val="00C03758"/>
    <w:rsid w:val="00C158A1"/>
    <w:rsid w:val="00CC1D2A"/>
    <w:rsid w:val="00CF2BFE"/>
    <w:rsid w:val="00D36534"/>
    <w:rsid w:val="00F128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A76A2DB-C934-406B-92A3-1FAD26AC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3">
    <w:name w:val="Style3"/>
    <w:basedOn w:val="Normal"/>
    <w:rsid w:val="00822DCB"/>
    <w:pPr>
      <w:jc w:val="both"/>
    </w:pPr>
    <w:rPr>
      <w:b/>
      <w:i/>
      <w:sz w:val="26"/>
      <w:szCs w:val="26"/>
    </w:rPr>
  </w:style>
  <w:style w:type="paragraph" w:customStyle="1" w:styleId="date-maj2">
    <w:name w:val="date-maj2"/>
    <w:basedOn w:val="Normal"/>
    <w:rsid w:val="0079706F"/>
    <w:pPr>
      <w:spacing w:after="75"/>
    </w:pPr>
    <w:rPr>
      <w:color w:val="777777"/>
      <w:sz w:val="17"/>
      <w:szCs w:val="17"/>
    </w:rPr>
  </w:style>
  <w:style w:type="character" w:styleId="lev">
    <w:name w:val="Strong"/>
    <w:qFormat/>
    <w:rsid w:val="0079706F"/>
    <w:rPr>
      <w:b/>
      <w:bCs/>
    </w:rPr>
  </w:style>
  <w:style w:type="table" w:styleId="Grilledutableau">
    <w:name w:val="Table Grid"/>
    <w:basedOn w:val="TableauNormal"/>
    <w:rsid w:val="00CF2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251BDB"/>
    <w:rPr>
      <w:rFonts w:ascii="Segoe UI" w:hAnsi="Segoe UI" w:cs="Segoe UI"/>
      <w:sz w:val="18"/>
      <w:szCs w:val="18"/>
    </w:rPr>
  </w:style>
  <w:style w:type="character" w:customStyle="1" w:styleId="TextedebullesCar">
    <w:name w:val="Texte de bulles Car"/>
    <w:basedOn w:val="Policepardfaut"/>
    <w:link w:val="Textedebulles"/>
    <w:rsid w:val="00251B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152433">
      <w:bodyDiv w:val="1"/>
      <w:marLeft w:val="0"/>
      <w:marRight w:val="0"/>
      <w:marTop w:val="0"/>
      <w:marBottom w:val="0"/>
      <w:divBdr>
        <w:top w:val="none" w:sz="0" w:space="0" w:color="auto"/>
        <w:left w:val="none" w:sz="0" w:space="0" w:color="auto"/>
        <w:bottom w:val="none" w:sz="0" w:space="0" w:color="auto"/>
        <w:right w:val="none" w:sz="0" w:space="0" w:color="auto"/>
      </w:divBdr>
      <w:divsChild>
        <w:div w:id="22757721">
          <w:marLeft w:val="0"/>
          <w:marRight w:val="0"/>
          <w:marTop w:val="0"/>
          <w:marBottom w:val="0"/>
          <w:divBdr>
            <w:top w:val="none" w:sz="0" w:space="0" w:color="auto"/>
            <w:left w:val="none" w:sz="0" w:space="0" w:color="auto"/>
            <w:bottom w:val="none" w:sz="0" w:space="0" w:color="auto"/>
            <w:right w:val="none" w:sz="0" w:space="0" w:color="auto"/>
          </w:divBdr>
          <w:divsChild>
            <w:div w:id="472252766">
              <w:marLeft w:val="0"/>
              <w:marRight w:val="0"/>
              <w:marTop w:val="0"/>
              <w:marBottom w:val="0"/>
              <w:divBdr>
                <w:top w:val="none" w:sz="0" w:space="0" w:color="auto"/>
                <w:left w:val="none" w:sz="0" w:space="0" w:color="auto"/>
                <w:bottom w:val="none" w:sz="0" w:space="0" w:color="auto"/>
                <w:right w:val="none" w:sz="0" w:space="0" w:color="auto"/>
              </w:divBdr>
              <w:divsChild>
                <w:div w:id="542594922">
                  <w:marLeft w:val="0"/>
                  <w:marRight w:val="0"/>
                  <w:marTop w:val="0"/>
                  <w:marBottom w:val="0"/>
                  <w:divBdr>
                    <w:top w:val="none" w:sz="0" w:space="0" w:color="auto"/>
                    <w:left w:val="none" w:sz="0" w:space="0" w:color="auto"/>
                    <w:bottom w:val="none" w:sz="0" w:space="0" w:color="auto"/>
                    <w:right w:val="none" w:sz="0" w:space="0" w:color="auto"/>
                  </w:divBdr>
                  <w:divsChild>
                    <w:div w:id="93132138">
                      <w:marLeft w:val="0"/>
                      <w:marRight w:val="0"/>
                      <w:marTop w:val="75"/>
                      <w:marBottom w:val="75"/>
                      <w:divBdr>
                        <w:top w:val="none" w:sz="0" w:space="0" w:color="auto"/>
                        <w:left w:val="none" w:sz="0" w:space="0" w:color="auto"/>
                        <w:bottom w:val="none" w:sz="0" w:space="0" w:color="auto"/>
                        <w:right w:val="none" w:sz="0" w:space="0" w:color="auto"/>
                      </w:divBdr>
                    </w:div>
                    <w:div w:id="164636412">
                      <w:marLeft w:val="0"/>
                      <w:marRight w:val="0"/>
                      <w:marTop w:val="75"/>
                      <w:marBottom w:val="75"/>
                      <w:divBdr>
                        <w:top w:val="none" w:sz="0" w:space="0" w:color="auto"/>
                        <w:left w:val="none" w:sz="0" w:space="0" w:color="auto"/>
                        <w:bottom w:val="none" w:sz="0" w:space="0" w:color="auto"/>
                        <w:right w:val="none" w:sz="0" w:space="0" w:color="auto"/>
                      </w:divBdr>
                    </w:div>
                    <w:div w:id="166681033">
                      <w:marLeft w:val="0"/>
                      <w:marRight w:val="0"/>
                      <w:marTop w:val="75"/>
                      <w:marBottom w:val="75"/>
                      <w:divBdr>
                        <w:top w:val="none" w:sz="0" w:space="0" w:color="auto"/>
                        <w:left w:val="none" w:sz="0" w:space="0" w:color="auto"/>
                        <w:bottom w:val="none" w:sz="0" w:space="0" w:color="auto"/>
                        <w:right w:val="none" w:sz="0" w:space="0" w:color="auto"/>
                      </w:divBdr>
                    </w:div>
                    <w:div w:id="329214991">
                      <w:marLeft w:val="0"/>
                      <w:marRight w:val="0"/>
                      <w:marTop w:val="75"/>
                      <w:marBottom w:val="75"/>
                      <w:divBdr>
                        <w:top w:val="none" w:sz="0" w:space="0" w:color="auto"/>
                        <w:left w:val="none" w:sz="0" w:space="0" w:color="auto"/>
                        <w:bottom w:val="none" w:sz="0" w:space="0" w:color="auto"/>
                        <w:right w:val="none" w:sz="0" w:space="0" w:color="auto"/>
                      </w:divBdr>
                    </w:div>
                    <w:div w:id="351028838">
                      <w:marLeft w:val="0"/>
                      <w:marRight w:val="0"/>
                      <w:marTop w:val="75"/>
                      <w:marBottom w:val="75"/>
                      <w:divBdr>
                        <w:top w:val="none" w:sz="0" w:space="0" w:color="auto"/>
                        <w:left w:val="none" w:sz="0" w:space="0" w:color="auto"/>
                        <w:bottom w:val="none" w:sz="0" w:space="0" w:color="auto"/>
                        <w:right w:val="none" w:sz="0" w:space="0" w:color="auto"/>
                      </w:divBdr>
                    </w:div>
                    <w:div w:id="359623366">
                      <w:marLeft w:val="0"/>
                      <w:marRight w:val="0"/>
                      <w:marTop w:val="75"/>
                      <w:marBottom w:val="75"/>
                      <w:divBdr>
                        <w:top w:val="none" w:sz="0" w:space="0" w:color="auto"/>
                        <w:left w:val="none" w:sz="0" w:space="0" w:color="auto"/>
                        <w:bottom w:val="none" w:sz="0" w:space="0" w:color="auto"/>
                        <w:right w:val="none" w:sz="0" w:space="0" w:color="auto"/>
                      </w:divBdr>
                    </w:div>
                    <w:div w:id="389812741">
                      <w:marLeft w:val="0"/>
                      <w:marRight w:val="0"/>
                      <w:marTop w:val="75"/>
                      <w:marBottom w:val="75"/>
                      <w:divBdr>
                        <w:top w:val="none" w:sz="0" w:space="0" w:color="auto"/>
                        <w:left w:val="none" w:sz="0" w:space="0" w:color="auto"/>
                        <w:bottom w:val="none" w:sz="0" w:space="0" w:color="auto"/>
                        <w:right w:val="none" w:sz="0" w:space="0" w:color="auto"/>
                      </w:divBdr>
                    </w:div>
                    <w:div w:id="401296768">
                      <w:marLeft w:val="0"/>
                      <w:marRight w:val="0"/>
                      <w:marTop w:val="75"/>
                      <w:marBottom w:val="75"/>
                      <w:divBdr>
                        <w:top w:val="none" w:sz="0" w:space="0" w:color="auto"/>
                        <w:left w:val="none" w:sz="0" w:space="0" w:color="auto"/>
                        <w:bottom w:val="none" w:sz="0" w:space="0" w:color="auto"/>
                        <w:right w:val="none" w:sz="0" w:space="0" w:color="auto"/>
                      </w:divBdr>
                    </w:div>
                    <w:div w:id="487332315">
                      <w:marLeft w:val="0"/>
                      <w:marRight w:val="0"/>
                      <w:marTop w:val="0"/>
                      <w:marBottom w:val="300"/>
                      <w:divBdr>
                        <w:top w:val="single" w:sz="6" w:space="0" w:color="D8D8D8"/>
                        <w:left w:val="single" w:sz="6" w:space="0" w:color="D8D8D8"/>
                        <w:bottom w:val="single" w:sz="6" w:space="0" w:color="D8D8D8"/>
                        <w:right w:val="single" w:sz="6" w:space="0" w:color="D8D8D8"/>
                      </w:divBdr>
                      <w:divsChild>
                        <w:div w:id="1122309806">
                          <w:marLeft w:val="0"/>
                          <w:marRight w:val="0"/>
                          <w:marTop w:val="0"/>
                          <w:marBottom w:val="0"/>
                          <w:divBdr>
                            <w:top w:val="none" w:sz="0" w:space="0" w:color="auto"/>
                            <w:left w:val="none" w:sz="0" w:space="0" w:color="auto"/>
                            <w:bottom w:val="none" w:sz="0" w:space="0" w:color="auto"/>
                            <w:right w:val="none" w:sz="0" w:space="0" w:color="auto"/>
                          </w:divBdr>
                        </w:div>
                      </w:divsChild>
                    </w:div>
                    <w:div w:id="499657300">
                      <w:marLeft w:val="0"/>
                      <w:marRight w:val="0"/>
                      <w:marTop w:val="75"/>
                      <w:marBottom w:val="75"/>
                      <w:divBdr>
                        <w:top w:val="none" w:sz="0" w:space="0" w:color="auto"/>
                        <w:left w:val="none" w:sz="0" w:space="0" w:color="auto"/>
                        <w:bottom w:val="none" w:sz="0" w:space="0" w:color="auto"/>
                        <w:right w:val="none" w:sz="0" w:space="0" w:color="auto"/>
                      </w:divBdr>
                    </w:div>
                    <w:div w:id="632907454">
                      <w:marLeft w:val="0"/>
                      <w:marRight w:val="0"/>
                      <w:marTop w:val="75"/>
                      <w:marBottom w:val="75"/>
                      <w:divBdr>
                        <w:top w:val="none" w:sz="0" w:space="0" w:color="auto"/>
                        <w:left w:val="none" w:sz="0" w:space="0" w:color="auto"/>
                        <w:bottom w:val="none" w:sz="0" w:space="0" w:color="auto"/>
                        <w:right w:val="none" w:sz="0" w:space="0" w:color="auto"/>
                      </w:divBdr>
                    </w:div>
                    <w:div w:id="756248838">
                      <w:marLeft w:val="0"/>
                      <w:marRight w:val="0"/>
                      <w:marTop w:val="75"/>
                      <w:marBottom w:val="75"/>
                      <w:divBdr>
                        <w:top w:val="none" w:sz="0" w:space="0" w:color="auto"/>
                        <w:left w:val="none" w:sz="0" w:space="0" w:color="auto"/>
                        <w:bottom w:val="none" w:sz="0" w:space="0" w:color="auto"/>
                        <w:right w:val="none" w:sz="0" w:space="0" w:color="auto"/>
                      </w:divBdr>
                    </w:div>
                    <w:div w:id="794712329">
                      <w:marLeft w:val="0"/>
                      <w:marRight w:val="0"/>
                      <w:marTop w:val="0"/>
                      <w:marBottom w:val="300"/>
                      <w:divBdr>
                        <w:top w:val="single" w:sz="6" w:space="0" w:color="D8D8D8"/>
                        <w:left w:val="single" w:sz="6" w:space="0" w:color="D8D8D8"/>
                        <w:bottom w:val="single" w:sz="6" w:space="0" w:color="D8D8D8"/>
                        <w:right w:val="single" w:sz="6" w:space="0" w:color="D8D8D8"/>
                      </w:divBdr>
                      <w:divsChild>
                        <w:div w:id="1986159761">
                          <w:marLeft w:val="0"/>
                          <w:marRight w:val="0"/>
                          <w:marTop w:val="0"/>
                          <w:marBottom w:val="0"/>
                          <w:divBdr>
                            <w:top w:val="none" w:sz="0" w:space="0" w:color="auto"/>
                            <w:left w:val="none" w:sz="0" w:space="0" w:color="auto"/>
                            <w:bottom w:val="none" w:sz="0" w:space="0" w:color="auto"/>
                            <w:right w:val="none" w:sz="0" w:space="0" w:color="auto"/>
                          </w:divBdr>
                        </w:div>
                      </w:divsChild>
                    </w:div>
                    <w:div w:id="882525379">
                      <w:marLeft w:val="0"/>
                      <w:marRight w:val="0"/>
                      <w:marTop w:val="75"/>
                      <w:marBottom w:val="75"/>
                      <w:divBdr>
                        <w:top w:val="none" w:sz="0" w:space="0" w:color="auto"/>
                        <w:left w:val="none" w:sz="0" w:space="0" w:color="auto"/>
                        <w:bottom w:val="none" w:sz="0" w:space="0" w:color="auto"/>
                        <w:right w:val="none" w:sz="0" w:space="0" w:color="auto"/>
                      </w:divBdr>
                    </w:div>
                    <w:div w:id="977957653">
                      <w:marLeft w:val="0"/>
                      <w:marRight w:val="0"/>
                      <w:marTop w:val="75"/>
                      <w:marBottom w:val="75"/>
                      <w:divBdr>
                        <w:top w:val="none" w:sz="0" w:space="0" w:color="auto"/>
                        <w:left w:val="none" w:sz="0" w:space="0" w:color="auto"/>
                        <w:bottom w:val="none" w:sz="0" w:space="0" w:color="auto"/>
                        <w:right w:val="none" w:sz="0" w:space="0" w:color="auto"/>
                      </w:divBdr>
                    </w:div>
                    <w:div w:id="1005090344">
                      <w:marLeft w:val="0"/>
                      <w:marRight w:val="0"/>
                      <w:marTop w:val="75"/>
                      <w:marBottom w:val="75"/>
                      <w:divBdr>
                        <w:top w:val="none" w:sz="0" w:space="0" w:color="auto"/>
                        <w:left w:val="none" w:sz="0" w:space="0" w:color="auto"/>
                        <w:bottom w:val="none" w:sz="0" w:space="0" w:color="auto"/>
                        <w:right w:val="none" w:sz="0" w:space="0" w:color="auto"/>
                      </w:divBdr>
                    </w:div>
                    <w:div w:id="1055589423">
                      <w:marLeft w:val="0"/>
                      <w:marRight w:val="0"/>
                      <w:marTop w:val="75"/>
                      <w:marBottom w:val="75"/>
                      <w:divBdr>
                        <w:top w:val="none" w:sz="0" w:space="0" w:color="auto"/>
                        <w:left w:val="none" w:sz="0" w:space="0" w:color="auto"/>
                        <w:bottom w:val="none" w:sz="0" w:space="0" w:color="auto"/>
                        <w:right w:val="none" w:sz="0" w:space="0" w:color="auto"/>
                      </w:divBdr>
                    </w:div>
                    <w:div w:id="1140923369">
                      <w:marLeft w:val="0"/>
                      <w:marRight w:val="0"/>
                      <w:marTop w:val="75"/>
                      <w:marBottom w:val="75"/>
                      <w:divBdr>
                        <w:top w:val="none" w:sz="0" w:space="0" w:color="auto"/>
                        <w:left w:val="none" w:sz="0" w:space="0" w:color="auto"/>
                        <w:bottom w:val="none" w:sz="0" w:space="0" w:color="auto"/>
                        <w:right w:val="none" w:sz="0" w:space="0" w:color="auto"/>
                      </w:divBdr>
                    </w:div>
                    <w:div w:id="1228226053">
                      <w:marLeft w:val="0"/>
                      <w:marRight w:val="0"/>
                      <w:marTop w:val="75"/>
                      <w:marBottom w:val="75"/>
                      <w:divBdr>
                        <w:top w:val="none" w:sz="0" w:space="0" w:color="auto"/>
                        <w:left w:val="none" w:sz="0" w:space="0" w:color="auto"/>
                        <w:bottom w:val="none" w:sz="0" w:space="0" w:color="auto"/>
                        <w:right w:val="none" w:sz="0" w:space="0" w:color="auto"/>
                      </w:divBdr>
                    </w:div>
                    <w:div w:id="1295066631">
                      <w:marLeft w:val="0"/>
                      <w:marRight w:val="0"/>
                      <w:marTop w:val="75"/>
                      <w:marBottom w:val="75"/>
                      <w:divBdr>
                        <w:top w:val="none" w:sz="0" w:space="0" w:color="auto"/>
                        <w:left w:val="none" w:sz="0" w:space="0" w:color="auto"/>
                        <w:bottom w:val="none" w:sz="0" w:space="0" w:color="auto"/>
                        <w:right w:val="none" w:sz="0" w:space="0" w:color="auto"/>
                      </w:divBdr>
                    </w:div>
                    <w:div w:id="1323660194">
                      <w:marLeft w:val="0"/>
                      <w:marRight w:val="0"/>
                      <w:marTop w:val="75"/>
                      <w:marBottom w:val="75"/>
                      <w:divBdr>
                        <w:top w:val="none" w:sz="0" w:space="0" w:color="auto"/>
                        <w:left w:val="none" w:sz="0" w:space="0" w:color="auto"/>
                        <w:bottom w:val="none" w:sz="0" w:space="0" w:color="auto"/>
                        <w:right w:val="none" w:sz="0" w:space="0" w:color="auto"/>
                      </w:divBdr>
                    </w:div>
                    <w:div w:id="1447697865">
                      <w:marLeft w:val="0"/>
                      <w:marRight w:val="0"/>
                      <w:marTop w:val="75"/>
                      <w:marBottom w:val="75"/>
                      <w:divBdr>
                        <w:top w:val="none" w:sz="0" w:space="0" w:color="auto"/>
                        <w:left w:val="none" w:sz="0" w:space="0" w:color="auto"/>
                        <w:bottom w:val="none" w:sz="0" w:space="0" w:color="auto"/>
                        <w:right w:val="none" w:sz="0" w:space="0" w:color="auto"/>
                      </w:divBdr>
                    </w:div>
                    <w:div w:id="1581134580">
                      <w:marLeft w:val="0"/>
                      <w:marRight w:val="0"/>
                      <w:marTop w:val="75"/>
                      <w:marBottom w:val="75"/>
                      <w:divBdr>
                        <w:top w:val="none" w:sz="0" w:space="0" w:color="auto"/>
                        <w:left w:val="none" w:sz="0" w:space="0" w:color="auto"/>
                        <w:bottom w:val="none" w:sz="0" w:space="0" w:color="auto"/>
                        <w:right w:val="none" w:sz="0" w:space="0" w:color="auto"/>
                      </w:divBdr>
                    </w:div>
                    <w:div w:id="1655912108">
                      <w:marLeft w:val="0"/>
                      <w:marRight w:val="0"/>
                      <w:marTop w:val="75"/>
                      <w:marBottom w:val="75"/>
                      <w:divBdr>
                        <w:top w:val="none" w:sz="0" w:space="0" w:color="auto"/>
                        <w:left w:val="none" w:sz="0" w:space="0" w:color="auto"/>
                        <w:bottom w:val="none" w:sz="0" w:space="0" w:color="auto"/>
                        <w:right w:val="none" w:sz="0" w:space="0" w:color="auto"/>
                      </w:divBdr>
                    </w:div>
                    <w:div w:id="1708482493">
                      <w:marLeft w:val="0"/>
                      <w:marRight w:val="0"/>
                      <w:marTop w:val="75"/>
                      <w:marBottom w:val="75"/>
                      <w:divBdr>
                        <w:top w:val="none" w:sz="0" w:space="0" w:color="auto"/>
                        <w:left w:val="none" w:sz="0" w:space="0" w:color="auto"/>
                        <w:bottom w:val="none" w:sz="0" w:space="0" w:color="auto"/>
                        <w:right w:val="none" w:sz="0" w:space="0" w:color="auto"/>
                      </w:divBdr>
                    </w:div>
                    <w:div w:id="1790585519">
                      <w:marLeft w:val="0"/>
                      <w:marRight w:val="0"/>
                      <w:marTop w:val="75"/>
                      <w:marBottom w:val="75"/>
                      <w:divBdr>
                        <w:top w:val="none" w:sz="0" w:space="0" w:color="auto"/>
                        <w:left w:val="none" w:sz="0" w:space="0" w:color="auto"/>
                        <w:bottom w:val="none" w:sz="0" w:space="0" w:color="auto"/>
                        <w:right w:val="none" w:sz="0" w:space="0" w:color="auto"/>
                      </w:divBdr>
                    </w:div>
                    <w:div w:id="1998680330">
                      <w:marLeft w:val="0"/>
                      <w:marRight w:val="0"/>
                      <w:marTop w:val="75"/>
                      <w:marBottom w:val="75"/>
                      <w:divBdr>
                        <w:top w:val="none" w:sz="0" w:space="0" w:color="auto"/>
                        <w:left w:val="none" w:sz="0" w:space="0" w:color="auto"/>
                        <w:bottom w:val="none" w:sz="0" w:space="0" w:color="auto"/>
                        <w:right w:val="none" w:sz="0" w:space="0" w:color="auto"/>
                      </w:divBdr>
                    </w:div>
                    <w:div w:id="20135585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ABA08-8317-4072-9165-967352718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1213</Words>
  <Characters>6577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Faut-il emprunter ou autofinancer ses investissements</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Faut-il emprunter ou autofinancer ses investissements</dc:title>
  <dc:subject/>
  <dc:creator>sokoa</dc:creator>
  <cp:keywords/>
  <dc:description/>
  <cp:lastModifiedBy>Utilisateur Windows</cp:lastModifiedBy>
  <cp:revision>19</cp:revision>
  <cp:lastPrinted>2018-01-09T17:13:00Z</cp:lastPrinted>
  <dcterms:created xsi:type="dcterms:W3CDTF">2016-12-30T15:42:00Z</dcterms:created>
  <dcterms:modified xsi:type="dcterms:W3CDTF">2019-09-04T13:36:00Z</dcterms:modified>
</cp:coreProperties>
</file>