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15" w:rsidRPr="00DB5B7B" w:rsidRDefault="001047DB" w:rsidP="00CA1EF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tabs>
          <w:tab w:val="left" w:pos="4820"/>
        </w:tabs>
        <w:autoSpaceDE w:val="0"/>
        <w:autoSpaceDN w:val="0"/>
        <w:adjustRightInd w:val="0"/>
        <w:spacing w:before="120" w:after="120" w:line="240" w:lineRule="auto"/>
        <w:jc w:val="center"/>
        <w:rPr>
          <w:rFonts w:cs="Calibri-Bold"/>
          <w:b/>
          <w:bCs/>
          <w:color w:val="FFFFFF" w:themeColor="background1"/>
          <w:sz w:val="24"/>
          <w:szCs w:val="26"/>
        </w:rPr>
      </w:pPr>
      <w:r w:rsidRPr="00DB5B7B">
        <w:rPr>
          <w:rFonts w:cs="Calibri-Bold"/>
          <w:b/>
          <w:bCs/>
          <w:color w:val="FFFFFF" w:themeColor="background1"/>
          <w:sz w:val="24"/>
          <w:szCs w:val="26"/>
        </w:rPr>
        <w:t xml:space="preserve">Question-réponse </w:t>
      </w:r>
      <w:r w:rsidR="00571315" w:rsidRPr="00DB5B7B">
        <w:rPr>
          <w:rFonts w:cs="Calibri-Bold"/>
          <w:b/>
          <w:bCs/>
          <w:color w:val="FFFFFF" w:themeColor="background1"/>
          <w:sz w:val="24"/>
          <w:szCs w:val="26"/>
        </w:rPr>
        <w:t>: Point mort et seuil de rentabilité</w:t>
      </w:r>
    </w:p>
    <w:p w:rsidR="00571315" w:rsidRPr="00CC59BB" w:rsidRDefault="00571315" w:rsidP="00571315">
      <w:pPr>
        <w:autoSpaceDE w:val="0"/>
        <w:autoSpaceDN w:val="0"/>
        <w:adjustRightInd w:val="0"/>
        <w:spacing w:after="120" w:line="240" w:lineRule="auto"/>
        <w:jc w:val="both"/>
        <w:rPr>
          <w:rFonts w:cs="Calibri"/>
          <w:color w:val="002060"/>
        </w:rPr>
      </w:pPr>
      <w:r w:rsidRPr="00CC59BB">
        <w:rPr>
          <w:rFonts w:cs="Calibri"/>
          <w:color w:val="002060"/>
        </w:rPr>
        <w:t xml:space="preserve">Il y a souvent une confusion de vocabulaire entre ces </w:t>
      </w:r>
      <w:r w:rsidR="00CA1EF0">
        <w:rPr>
          <w:rFonts w:cs="Calibri"/>
          <w:color w:val="002060"/>
        </w:rPr>
        <w:t>2</w:t>
      </w:r>
      <w:r w:rsidRPr="00CC59BB">
        <w:rPr>
          <w:rFonts w:cs="Calibri"/>
          <w:color w:val="002060"/>
        </w:rPr>
        <w:t xml:space="preserve"> termes qui nous paraît devoir être clarifiée.</w:t>
      </w:r>
    </w:p>
    <w:p w:rsidR="00CA1EF0" w:rsidRPr="00DB5B7B" w:rsidRDefault="001047DB" w:rsidP="001047DB">
      <w:pPr>
        <w:autoSpaceDE w:val="0"/>
        <w:autoSpaceDN w:val="0"/>
        <w:adjustRightInd w:val="0"/>
        <w:spacing w:after="60" w:line="240" w:lineRule="auto"/>
        <w:jc w:val="both"/>
        <w:rPr>
          <w:rFonts w:cs="Calibri"/>
          <w:b/>
          <w:color w:val="002060"/>
          <w:sz w:val="24"/>
        </w:rPr>
      </w:pPr>
      <w:r w:rsidRPr="00DB5B7B">
        <w:rPr>
          <w:rFonts w:cs="Calibri"/>
          <w:b/>
          <w:color w:val="002060"/>
          <w:sz w:val="24"/>
        </w:rPr>
        <w:t xml:space="preserve">1. </w:t>
      </w:r>
      <w:r w:rsidR="00571315" w:rsidRPr="00DB5B7B">
        <w:rPr>
          <w:rFonts w:cs="Calibri"/>
          <w:b/>
          <w:color w:val="002060"/>
          <w:sz w:val="24"/>
        </w:rPr>
        <w:t xml:space="preserve">Le point mort </w:t>
      </w:r>
    </w:p>
    <w:p w:rsidR="001047DB" w:rsidRDefault="00CA1EF0" w:rsidP="001047DB">
      <w:pPr>
        <w:autoSpaceDE w:val="0"/>
        <w:autoSpaceDN w:val="0"/>
        <w:adjustRightInd w:val="0"/>
        <w:spacing w:after="60" w:line="240" w:lineRule="auto"/>
        <w:jc w:val="both"/>
        <w:rPr>
          <w:rFonts w:cs="Calibri"/>
          <w:color w:val="002060"/>
        </w:rPr>
      </w:pPr>
      <w:r>
        <w:rPr>
          <w:rFonts w:cs="Calibri"/>
          <w:color w:val="002060"/>
        </w:rPr>
        <w:t xml:space="preserve">Le point mort </w:t>
      </w:r>
      <w:r w:rsidR="00571315" w:rsidRPr="001047DB">
        <w:rPr>
          <w:rFonts w:cs="Calibri"/>
          <w:color w:val="002060"/>
        </w:rPr>
        <w:t xml:space="preserve">est le niveau minimum d'activité qu'une entreprise doit atteindre sur un exercice donné pour commencer à faire des </w:t>
      </w:r>
      <w:r w:rsidR="00571315" w:rsidRPr="00E35976">
        <w:rPr>
          <w:rFonts w:cs="Calibri"/>
          <w:b/>
          <w:color w:val="0000CC"/>
        </w:rPr>
        <w:t>profits</w:t>
      </w:r>
      <w:r w:rsidR="00571315" w:rsidRPr="00CC59BB">
        <w:rPr>
          <w:rFonts w:cs="Calibri"/>
          <w:color w:val="002060"/>
        </w:rPr>
        <w:t xml:space="preserve">. </w:t>
      </w:r>
    </w:p>
    <w:p w:rsidR="007F0B27" w:rsidRPr="00CC59BB" w:rsidRDefault="00571315" w:rsidP="00DB5B7B">
      <w:pPr>
        <w:autoSpaceDE w:val="0"/>
        <w:autoSpaceDN w:val="0"/>
        <w:adjustRightInd w:val="0"/>
        <w:spacing w:after="240" w:line="240" w:lineRule="auto"/>
        <w:jc w:val="both"/>
        <w:rPr>
          <w:rFonts w:cs="Calibri"/>
          <w:color w:val="002060"/>
        </w:rPr>
      </w:pPr>
      <w:r w:rsidRPr="00CC59BB">
        <w:rPr>
          <w:rFonts w:cs="Calibri"/>
          <w:color w:val="002060"/>
        </w:rPr>
        <w:t>Il s'exprime en volume (nombre de livres vendus, nombre de pages de publicité consultées, nombre de tonnes vendues, etc.) ou en unités monétaire (faire un chiffre d'affaires minimum de 100 000 €).</w:t>
      </w:r>
    </w:p>
    <w:p w:rsidR="00CA1EF0" w:rsidRPr="00DB5B7B" w:rsidRDefault="001047DB" w:rsidP="00E35976">
      <w:pPr>
        <w:autoSpaceDE w:val="0"/>
        <w:autoSpaceDN w:val="0"/>
        <w:adjustRightInd w:val="0"/>
        <w:spacing w:after="60" w:line="240" w:lineRule="auto"/>
        <w:jc w:val="both"/>
        <w:rPr>
          <w:rFonts w:cs="Calibri"/>
          <w:b/>
          <w:color w:val="002060"/>
          <w:sz w:val="24"/>
        </w:rPr>
      </w:pPr>
      <w:r w:rsidRPr="00DB5B7B">
        <w:rPr>
          <w:rFonts w:cs="Calibri"/>
          <w:b/>
          <w:color w:val="002060"/>
          <w:sz w:val="24"/>
        </w:rPr>
        <w:t xml:space="preserve">2. </w:t>
      </w:r>
      <w:r w:rsidR="00571315" w:rsidRPr="00DB5B7B">
        <w:rPr>
          <w:rFonts w:cs="Calibri"/>
          <w:b/>
          <w:color w:val="002060"/>
          <w:sz w:val="24"/>
        </w:rPr>
        <w:t xml:space="preserve">Le seuil de rentabilité </w:t>
      </w:r>
    </w:p>
    <w:p w:rsidR="001047DB" w:rsidRDefault="00CA1EF0" w:rsidP="00E35976">
      <w:pPr>
        <w:autoSpaceDE w:val="0"/>
        <w:autoSpaceDN w:val="0"/>
        <w:adjustRightInd w:val="0"/>
        <w:spacing w:after="60" w:line="240" w:lineRule="auto"/>
        <w:jc w:val="both"/>
        <w:rPr>
          <w:rFonts w:cs="Calibri"/>
          <w:color w:val="002060"/>
        </w:rPr>
      </w:pPr>
      <w:r w:rsidRPr="00CA1EF0">
        <w:rPr>
          <w:rFonts w:cs="Calibri"/>
          <w:color w:val="002060"/>
        </w:rPr>
        <w:t>Le seuil de rentabilité</w:t>
      </w:r>
      <w:r>
        <w:rPr>
          <w:rFonts w:cs="Calibri"/>
          <w:b/>
          <w:color w:val="002060"/>
        </w:rPr>
        <w:t xml:space="preserve"> </w:t>
      </w:r>
      <w:r w:rsidR="00571315" w:rsidRPr="001047DB">
        <w:rPr>
          <w:rFonts w:cs="Calibri"/>
          <w:color w:val="002060"/>
        </w:rPr>
        <w:t xml:space="preserve">correspond quant à lui au moment de l'année où toutes les charges de l'année sont couvertes (même celles à venir sur le reste de l'année) et où l'entreprise commence à </w:t>
      </w:r>
      <w:r w:rsidR="00571315" w:rsidRPr="00CA1EF0">
        <w:rPr>
          <w:rFonts w:cs="Calibri"/>
          <w:color w:val="0000CC"/>
        </w:rPr>
        <w:t xml:space="preserve">faire du résultat </w:t>
      </w:r>
      <w:r w:rsidR="00571315" w:rsidRPr="001047DB">
        <w:rPr>
          <w:rFonts w:cs="Calibri"/>
          <w:color w:val="002060"/>
        </w:rPr>
        <w:t>comme si avant elle n'en faisait pas avant</w:t>
      </w:r>
      <w:r w:rsidR="00571315" w:rsidRPr="00CC59BB">
        <w:rPr>
          <w:rFonts w:cs="Calibri"/>
          <w:color w:val="002060"/>
        </w:rPr>
        <w:t xml:space="preserve">. </w:t>
      </w:r>
    </w:p>
    <w:p w:rsidR="001047DB" w:rsidRDefault="00571315" w:rsidP="00E35976">
      <w:pPr>
        <w:autoSpaceDE w:val="0"/>
        <w:autoSpaceDN w:val="0"/>
        <w:adjustRightInd w:val="0"/>
        <w:spacing w:after="60" w:line="240" w:lineRule="auto"/>
        <w:jc w:val="both"/>
        <w:rPr>
          <w:rFonts w:cs="Calibri"/>
          <w:color w:val="002060"/>
        </w:rPr>
      </w:pPr>
      <w:r w:rsidRPr="00CC59BB">
        <w:rPr>
          <w:rFonts w:cs="Calibri"/>
          <w:color w:val="002060"/>
        </w:rPr>
        <w:t xml:space="preserve">Ainsi une épicerie qui fait 100 de chiffre d'affaires et un résultat de annuel de 2 dira que son seuil de rentabilité est le 24 décembre, 7 jours avant la fin d'année (en </w:t>
      </w:r>
      <w:bookmarkStart w:id="0" w:name="_GoBack"/>
      <w:bookmarkEnd w:id="0"/>
      <w:r w:rsidRPr="00CC59BB">
        <w:rPr>
          <w:rFonts w:cs="Calibri"/>
          <w:color w:val="002060"/>
        </w:rPr>
        <w:t xml:space="preserve">supposant qu'elle soit ouverte 7j/7), car au 24 décembre, il reste 7 jours avant la fin de l'année, soit 2 % de 365 jours dans une année. </w:t>
      </w:r>
    </w:p>
    <w:p w:rsidR="00571315" w:rsidRPr="00CC59BB" w:rsidRDefault="00571315" w:rsidP="00E35976">
      <w:pPr>
        <w:autoSpaceDE w:val="0"/>
        <w:autoSpaceDN w:val="0"/>
        <w:adjustRightInd w:val="0"/>
        <w:spacing w:after="60" w:line="240" w:lineRule="auto"/>
        <w:jc w:val="both"/>
        <w:rPr>
          <w:rFonts w:cs="Calibri"/>
          <w:color w:val="002060"/>
        </w:rPr>
      </w:pPr>
      <w:r w:rsidRPr="00CC59BB">
        <w:rPr>
          <w:rFonts w:cs="Calibri"/>
          <w:color w:val="002060"/>
        </w:rPr>
        <w:t>C'est très pédagogique pour des gens qui n'ont aucune connaissance en comptabilité ou en finance et pour qui c'est très parlant en communication interne de dire : "tout au long de l'année on travaille pour couvrir nos salaires, les couts des achats, les frais généraux, les impôts</w:t>
      </w:r>
      <w:r w:rsidR="00CA1EF0">
        <w:rPr>
          <w:rFonts w:cs="Calibri"/>
          <w:color w:val="002060"/>
        </w:rPr>
        <w:t>,</w:t>
      </w:r>
      <w:r w:rsidRPr="00CC59BB">
        <w:rPr>
          <w:rFonts w:cs="Calibri"/>
          <w:color w:val="002060"/>
        </w:rPr>
        <w:t xml:space="preserve"> et à partir du 24 décembre (dans cet exemple) on travaille pour faire le profit pour les actionnaires."</w:t>
      </w:r>
    </w:p>
    <w:p w:rsidR="00571315" w:rsidRPr="00CC59BB" w:rsidRDefault="00571315" w:rsidP="00E35976">
      <w:pPr>
        <w:autoSpaceDE w:val="0"/>
        <w:autoSpaceDN w:val="0"/>
        <w:adjustRightInd w:val="0"/>
        <w:spacing w:after="60" w:line="240" w:lineRule="auto"/>
        <w:jc w:val="both"/>
        <w:rPr>
          <w:rFonts w:cs="Calibri"/>
          <w:color w:val="002060"/>
        </w:rPr>
      </w:pPr>
      <w:r w:rsidRPr="00CC59BB">
        <w:rPr>
          <w:rFonts w:cs="Calibri"/>
          <w:color w:val="002060"/>
        </w:rPr>
        <w:t>C'est très pédagogique mais c'est très simpliste, car avant le 24 décembre dans notre exemple, l’entreprise a gagné de l'argent et après le 24 décembre tout le chiffre d'affaires ne constitue pas du profit comme supposé dans ce concept de seuil de rentabilité. En plus on suppose implicitement que les ventes sont les mêmes chaque jour, ce qui est très rare.</w:t>
      </w:r>
    </w:p>
    <w:p w:rsidR="00CA1EF0" w:rsidRDefault="00571315" w:rsidP="00E35976">
      <w:pPr>
        <w:autoSpaceDE w:val="0"/>
        <w:autoSpaceDN w:val="0"/>
        <w:adjustRightInd w:val="0"/>
        <w:spacing w:after="60" w:line="240" w:lineRule="auto"/>
        <w:jc w:val="both"/>
        <w:rPr>
          <w:rFonts w:cs="Calibri"/>
          <w:color w:val="002060"/>
        </w:rPr>
      </w:pPr>
      <w:r w:rsidRPr="00CA1EF0">
        <w:rPr>
          <w:rFonts w:cs="Calibri"/>
          <w:color w:val="002060"/>
          <w:shd w:val="clear" w:color="auto" w:fill="FFFFCC"/>
        </w:rPr>
        <w:t>Voilà pourquoi le concept de point mort parait plus pertinent pour l'analyse financière d’une entreprise</w:t>
      </w:r>
      <w:r w:rsidRPr="00CC59BB">
        <w:rPr>
          <w:rFonts w:cs="Calibri"/>
          <w:color w:val="002060"/>
        </w:rPr>
        <w:t xml:space="preserve">. </w:t>
      </w:r>
    </w:p>
    <w:p w:rsidR="00CA1EF0" w:rsidRDefault="00571315" w:rsidP="00E35976">
      <w:pPr>
        <w:shd w:val="clear" w:color="auto" w:fill="FFFFFF" w:themeFill="background1"/>
        <w:autoSpaceDE w:val="0"/>
        <w:autoSpaceDN w:val="0"/>
        <w:adjustRightInd w:val="0"/>
        <w:spacing w:after="60" w:line="240" w:lineRule="auto"/>
        <w:jc w:val="both"/>
        <w:rPr>
          <w:rFonts w:cs="Calibri"/>
          <w:color w:val="002060"/>
        </w:rPr>
      </w:pPr>
      <w:r w:rsidRPr="00CC59BB">
        <w:rPr>
          <w:rFonts w:cs="Calibri"/>
          <w:color w:val="002060"/>
        </w:rPr>
        <w:t xml:space="preserve">Mais il est sûr que si nous gérions une équipe de personnes sans compétence en finance ou comptabilité, nous utiliserions le seuil de rentabilité en communication interne avec notre équipe car c'est facile à comprendre et très parlant pour démythifier le profit. </w:t>
      </w:r>
    </w:p>
    <w:p w:rsidR="00CA1EF0" w:rsidRPr="004C15BF" w:rsidRDefault="00571315" w:rsidP="00E377B9">
      <w:pPr>
        <w:shd w:val="clear" w:color="auto" w:fill="FFFFCC"/>
        <w:autoSpaceDE w:val="0"/>
        <w:autoSpaceDN w:val="0"/>
        <w:adjustRightInd w:val="0"/>
        <w:spacing w:after="60" w:line="240" w:lineRule="auto"/>
        <w:jc w:val="both"/>
        <w:rPr>
          <w:rFonts w:cs="Calibri"/>
          <w:color w:val="002060"/>
          <w:highlight w:val="yellow"/>
        </w:rPr>
      </w:pPr>
      <w:r w:rsidRPr="004C15BF">
        <w:rPr>
          <w:rFonts w:cs="Calibri"/>
          <w:color w:val="002060"/>
        </w:rPr>
        <w:t xml:space="preserve">Même si l’expression de seuil de rentabilité est </w:t>
      </w:r>
      <w:r w:rsidRPr="00E377B9">
        <w:rPr>
          <w:rFonts w:cs="Calibri"/>
          <w:color w:val="002060"/>
          <w:shd w:val="clear" w:color="auto" w:fill="FFFFCC"/>
        </w:rPr>
        <w:t xml:space="preserve">peu heureuse, car au seuil de rentabilité l’entreprise n’est pas rentable ; elle commence simplement à être </w:t>
      </w:r>
      <w:r w:rsidRPr="00E377B9">
        <w:rPr>
          <w:rFonts w:cs="Calibri"/>
          <w:b/>
          <w:color w:val="0000CC"/>
          <w:shd w:val="clear" w:color="auto" w:fill="FFFFCC"/>
        </w:rPr>
        <w:t>profitable</w:t>
      </w:r>
      <w:r w:rsidRPr="00E377B9">
        <w:rPr>
          <w:rFonts w:cs="Calibri"/>
          <w:color w:val="002060"/>
          <w:shd w:val="clear" w:color="auto" w:fill="FFFFCC"/>
        </w:rPr>
        <w:t>.</w:t>
      </w:r>
      <w:r w:rsidRPr="004C15BF">
        <w:rPr>
          <w:rFonts w:cs="Calibri"/>
          <w:color w:val="002060"/>
          <w:highlight w:val="yellow"/>
        </w:rPr>
        <w:t xml:space="preserve"> </w:t>
      </w:r>
    </w:p>
    <w:p w:rsidR="00571315" w:rsidRPr="004C15BF" w:rsidRDefault="00571315" w:rsidP="00E377B9">
      <w:pPr>
        <w:shd w:val="clear" w:color="auto" w:fill="FFFFCC"/>
        <w:autoSpaceDE w:val="0"/>
        <w:autoSpaceDN w:val="0"/>
        <w:adjustRightInd w:val="0"/>
        <w:spacing w:after="120" w:line="240" w:lineRule="auto"/>
        <w:jc w:val="both"/>
        <w:rPr>
          <w:rFonts w:cs="Calibri"/>
          <w:color w:val="002060"/>
        </w:rPr>
      </w:pPr>
      <w:r w:rsidRPr="004C15BF">
        <w:rPr>
          <w:rFonts w:cs="Calibri"/>
          <w:color w:val="002060"/>
        </w:rPr>
        <w:t>Une entreprise n’est rentable que lorsqu’elle dégage un taux de rentabilité sur son actif économique au moins égal à son coût du capital.</w:t>
      </w:r>
    </w:p>
    <w:p w:rsidR="00571315" w:rsidRPr="00CC59BB" w:rsidRDefault="00571315" w:rsidP="00571315">
      <w:pPr>
        <w:spacing w:after="120" w:line="240" w:lineRule="auto"/>
        <w:jc w:val="both"/>
        <w:rPr>
          <w:color w:val="002060"/>
        </w:rPr>
      </w:pPr>
    </w:p>
    <w:sectPr w:rsidR="00571315" w:rsidRPr="00CC59BB" w:rsidSect="00CA1EF0">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15"/>
    <w:rsid w:val="001047DB"/>
    <w:rsid w:val="0021034D"/>
    <w:rsid w:val="004C15BF"/>
    <w:rsid w:val="00571315"/>
    <w:rsid w:val="007F0B27"/>
    <w:rsid w:val="00936B81"/>
    <w:rsid w:val="00CA1EF0"/>
    <w:rsid w:val="00CC59BB"/>
    <w:rsid w:val="00DB5B7B"/>
    <w:rsid w:val="00E35976"/>
    <w:rsid w:val="00E37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24B03-5E6C-4B51-8DE0-B043F4B0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1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388</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BERGARA</dc:creator>
  <cp:keywords/>
  <dc:description/>
  <cp:lastModifiedBy>Utilisateur Windows</cp:lastModifiedBy>
  <cp:revision>9</cp:revision>
  <dcterms:created xsi:type="dcterms:W3CDTF">2015-04-06T16:09:00Z</dcterms:created>
  <dcterms:modified xsi:type="dcterms:W3CDTF">2019-09-04T14:04:00Z</dcterms:modified>
</cp:coreProperties>
</file>