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F3" w:rsidRPr="00E43302" w:rsidRDefault="006B2835" w:rsidP="00E43302">
      <w:pPr>
        <w:pStyle w:val="Titre"/>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ind w:firstLine="0"/>
        <w:rPr>
          <w:rFonts w:ascii="Calibri" w:hAnsi="Calibri"/>
          <w:b/>
          <w:bCs/>
          <w:color w:val="FFFFFF" w:themeColor="background1"/>
          <w:sz w:val="26"/>
          <w:szCs w:val="26"/>
        </w:rPr>
      </w:pPr>
      <w:r w:rsidRPr="006B2835">
        <w:rPr>
          <w:rFonts w:ascii="Calibri" w:hAnsi="Calibri"/>
          <w:b/>
          <w:bCs/>
          <w:color w:val="FFFFFF" w:themeColor="background1"/>
          <w:sz w:val="26"/>
          <w:szCs w:val="26"/>
        </w:rPr>
        <w:t>Les coûts et prix de revient</w:t>
      </w:r>
    </w:p>
    <w:p w:rsidR="007C16F3" w:rsidRPr="00E43302" w:rsidRDefault="006B2835" w:rsidP="00E43302">
      <w:pPr>
        <w:spacing w:before="120" w:after="60"/>
        <w:rPr>
          <w:rFonts w:ascii="Calibri" w:hAnsi="Calibri"/>
          <w:b/>
          <w:color w:val="002060"/>
          <w:sz w:val="22"/>
          <w:szCs w:val="22"/>
        </w:rPr>
      </w:pPr>
      <w:r w:rsidRPr="00E43302">
        <w:rPr>
          <w:rFonts w:ascii="Calibri" w:hAnsi="Calibri"/>
          <w:b/>
          <w:color w:val="002060"/>
          <w:sz w:val="22"/>
          <w:szCs w:val="22"/>
        </w:rPr>
        <w:t>I.</w:t>
      </w:r>
      <w:r w:rsidR="007C16F3" w:rsidRPr="00E43302">
        <w:rPr>
          <w:rFonts w:ascii="Calibri" w:hAnsi="Calibri"/>
          <w:b/>
          <w:color w:val="002060"/>
          <w:sz w:val="22"/>
          <w:szCs w:val="22"/>
        </w:rPr>
        <w:t xml:space="preserve"> </w:t>
      </w:r>
      <w:r w:rsidRPr="00E43302">
        <w:rPr>
          <w:rFonts w:ascii="Calibri" w:hAnsi="Calibri"/>
          <w:b/>
          <w:color w:val="002060"/>
          <w:sz w:val="22"/>
          <w:szCs w:val="22"/>
        </w:rPr>
        <w:t>le coût</w:t>
      </w:r>
    </w:p>
    <w:p w:rsidR="007C16F3" w:rsidRDefault="007C16F3" w:rsidP="006B2835">
      <w:pPr>
        <w:spacing w:after="60"/>
        <w:rPr>
          <w:rFonts w:ascii="Calibri" w:hAnsi="Calibri"/>
          <w:color w:val="002060"/>
          <w:sz w:val="20"/>
          <w:szCs w:val="20"/>
        </w:rPr>
      </w:pPr>
      <w:r w:rsidRPr="006B2835">
        <w:rPr>
          <w:rFonts w:ascii="Calibri" w:hAnsi="Calibri"/>
          <w:bCs/>
          <w:color w:val="002060"/>
          <w:sz w:val="20"/>
          <w:szCs w:val="20"/>
        </w:rPr>
        <w:t>Un coût</w:t>
      </w:r>
      <w:r w:rsidRPr="006B2835">
        <w:rPr>
          <w:rFonts w:ascii="Calibri" w:hAnsi="Calibri"/>
          <w:color w:val="002060"/>
          <w:sz w:val="20"/>
          <w:szCs w:val="20"/>
        </w:rPr>
        <w:t xml:space="preserve"> est constitué par un total de dépenses rapporté, </w:t>
      </w:r>
      <w:r w:rsidRPr="006B2835">
        <w:rPr>
          <w:rFonts w:ascii="Calibri" w:hAnsi="Calibri"/>
          <w:bCs/>
          <w:color w:val="002060"/>
          <w:sz w:val="20"/>
          <w:szCs w:val="20"/>
        </w:rPr>
        <w:t>à un moment donné</w:t>
      </w:r>
      <w:r w:rsidR="00917601" w:rsidRPr="006B2835">
        <w:rPr>
          <w:rFonts w:ascii="Calibri" w:hAnsi="Calibri"/>
          <w:color w:val="002060"/>
          <w:sz w:val="20"/>
          <w:szCs w:val="20"/>
        </w:rPr>
        <w:t> :</w:t>
      </w:r>
    </w:p>
    <w:p w:rsidR="006B2835" w:rsidRDefault="007C16F3" w:rsidP="006B2835">
      <w:pPr>
        <w:pStyle w:val="Corpsdetexte"/>
        <w:numPr>
          <w:ilvl w:val="0"/>
          <w:numId w:val="5"/>
        </w:numPr>
        <w:tabs>
          <w:tab w:val="left" w:pos="360"/>
        </w:tabs>
        <w:spacing w:after="60"/>
        <w:ind w:left="170" w:hanging="170"/>
        <w:rPr>
          <w:rFonts w:ascii="Calibri" w:hAnsi="Calibri"/>
          <w:color w:val="002060"/>
          <w:sz w:val="20"/>
          <w:szCs w:val="20"/>
        </w:rPr>
      </w:pPr>
      <w:r w:rsidRPr="006B2835">
        <w:rPr>
          <w:rFonts w:ascii="Calibri" w:hAnsi="Calibri"/>
          <w:color w:val="002060"/>
          <w:sz w:val="20"/>
          <w:szCs w:val="20"/>
        </w:rPr>
        <w:t>soit à une fonction  ou partie de l’entreprise ;</w:t>
      </w:r>
    </w:p>
    <w:p w:rsidR="007C16F3" w:rsidRPr="006B2835" w:rsidRDefault="007C16F3" w:rsidP="006B2835">
      <w:pPr>
        <w:pStyle w:val="Corpsdetexte"/>
        <w:numPr>
          <w:ilvl w:val="0"/>
          <w:numId w:val="5"/>
        </w:numPr>
        <w:tabs>
          <w:tab w:val="left" w:pos="360"/>
        </w:tabs>
        <w:spacing w:after="120"/>
        <w:ind w:left="170" w:hanging="170"/>
        <w:rPr>
          <w:rFonts w:ascii="Calibri" w:hAnsi="Calibri"/>
          <w:color w:val="002060"/>
          <w:sz w:val="20"/>
          <w:szCs w:val="20"/>
        </w:rPr>
      </w:pPr>
      <w:r w:rsidRPr="006B2835">
        <w:rPr>
          <w:rFonts w:ascii="Calibri" w:hAnsi="Calibri"/>
          <w:color w:val="002060"/>
          <w:sz w:val="20"/>
          <w:szCs w:val="20"/>
        </w:rPr>
        <w:t>soit à un objet, une prestation de service, un groupe d’objets ou de prestatio</w:t>
      </w:r>
      <w:r w:rsidR="004E5D35" w:rsidRPr="006B2835">
        <w:rPr>
          <w:rFonts w:ascii="Calibri" w:hAnsi="Calibri"/>
          <w:color w:val="002060"/>
          <w:sz w:val="20"/>
          <w:szCs w:val="20"/>
        </w:rPr>
        <w:t xml:space="preserve">ns de </w:t>
      </w:r>
      <w:r w:rsidRPr="006B2835">
        <w:rPr>
          <w:rFonts w:ascii="Calibri" w:hAnsi="Calibri"/>
          <w:color w:val="002060"/>
          <w:sz w:val="20"/>
          <w:szCs w:val="20"/>
        </w:rPr>
        <w:t xml:space="preserve"> service, pris à un stade </w:t>
      </w:r>
      <w:r w:rsidRPr="006B2835">
        <w:rPr>
          <w:rFonts w:ascii="Calibri" w:hAnsi="Calibri"/>
          <w:b/>
          <w:bCs/>
          <w:color w:val="002060"/>
          <w:sz w:val="20"/>
          <w:szCs w:val="20"/>
        </w:rPr>
        <w:t>autre que le stade final</w:t>
      </w:r>
      <w:r w:rsidRPr="006B2835">
        <w:rPr>
          <w:rFonts w:ascii="Calibri" w:hAnsi="Calibri"/>
          <w:color w:val="002060"/>
          <w:sz w:val="20"/>
          <w:szCs w:val="20"/>
        </w:rPr>
        <w:t xml:space="preserve"> de la livraison au client</w:t>
      </w:r>
    </w:p>
    <w:p w:rsidR="007C16F3" w:rsidRPr="00E43302" w:rsidRDefault="007C16F3" w:rsidP="006B2835">
      <w:pPr>
        <w:spacing w:after="60"/>
        <w:rPr>
          <w:rFonts w:ascii="Calibri" w:hAnsi="Calibri"/>
          <w:b/>
          <w:color w:val="002060"/>
          <w:sz w:val="22"/>
          <w:szCs w:val="22"/>
        </w:rPr>
      </w:pPr>
      <w:r w:rsidRPr="00E43302">
        <w:rPr>
          <w:rFonts w:ascii="Calibri" w:hAnsi="Calibri"/>
          <w:b/>
          <w:color w:val="002060"/>
          <w:sz w:val="22"/>
          <w:szCs w:val="22"/>
        </w:rPr>
        <w:t>I</w:t>
      </w:r>
      <w:r w:rsidR="006B2835" w:rsidRPr="00E43302">
        <w:rPr>
          <w:rFonts w:ascii="Calibri" w:hAnsi="Calibri"/>
          <w:b/>
          <w:color w:val="002060"/>
          <w:sz w:val="22"/>
          <w:szCs w:val="22"/>
        </w:rPr>
        <w:t>I.</w:t>
      </w:r>
      <w:r w:rsidRPr="00E43302">
        <w:rPr>
          <w:rFonts w:ascii="Calibri" w:hAnsi="Calibri"/>
          <w:b/>
          <w:color w:val="002060"/>
          <w:sz w:val="22"/>
          <w:szCs w:val="22"/>
        </w:rPr>
        <w:t xml:space="preserve"> </w:t>
      </w:r>
      <w:r w:rsidR="006B2835" w:rsidRPr="00E43302">
        <w:rPr>
          <w:rFonts w:ascii="Calibri" w:hAnsi="Calibri"/>
          <w:b/>
          <w:color w:val="002060"/>
          <w:sz w:val="22"/>
          <w:szCs w:val="22"/>
        </w:rPr>
        <w:t>Le prix de revient</w:t>
      </w:r>
    </w:p>
    <w:p w:rsidR="006B2835" w:rsidRDefault="007C16F3" w:rsidP="001704C2">
      <w:pPr>
        <w:pStyle w:val="Corpsdetexte"/>
        <w:spacing w:before="60" w:after="60"/>
        <w:rPr>
          <w:rFonts w:ascii="Calibri" w:hAnsi="Calibri"/>
          <w:color w:val="002060"/>
          <w:sz w:val="20"/>
          <w:szCs w:val="20"/>
        </w:rPr>
      </w:pPr>
      <w:r w:rsidRPr="006B2835">
        <w:rPr>
          <w:rFonts w:ascii="Calibri" w:hAnsi="Calibri"/>
          <w:bCs/>
          <w:color w:val="002060"/>
          <w:sz w:val="20"/>
          <w:szCs w:val="20"/>
        </w:rPr>
        <w:t>Le prix de revient</w:t>
      </w:r>
      <w:r w:rsidRPr="006B2835">
        <w:rPr>
          <w:rFonts w:ascii="Calibri" w:hAnsi="Calibri"/>
          <w:color w:val="002060"/>
          <w:sz w:val="20"/>
          <w:szCs w:val="20"/>
        </w:rPr>
        <w:t xml:space="preserve"> d’un objet, d’une prestation de service, d’un groupe d’objets ou de prestations de services est constitué par </w:t>
      </w:r>
      <w:r w:rsidRPr="006B2835">
        <w:rPr>
          <w:rFonts w:ascii="Calibri" w:hAnsi="Calibri"/>
          <w:b/>
          <w:bCs/>
          <w:color w:val="002060"/>
          <w:sz w:val="20"/>
          <w:szCs w:val="20"/>
        </w:rPr>
        <w:t>le total des coûts</w:t>
      </w:r>
      <w:r w:rsidRPr="006B2835">
        <w:rPr>
          <w:rFonts w:ascii="Calibri" w:hAnsi="Calibri"/>
          <w:color w:val="002060"/>
          <w:sz w:val="20"/>
          <w:szCs w:val="20"/>
        </w:rPr>
        <w:t xml:space="preserve"> relatifs à cet objet, cette prestation de service, ce groupe d’objets ou de prestations de services, </w:t>
      </w:r>
      <w:r w:rsidRPr="006B2835">
        <w:rPr>
          <w:rFonts w:ascii="Calibri" w:hAnsi="Calibri"/>
          <w:b/>
          <w:bCs/>
          <w:color w:val="002060"/>
          <w:sz w:val="20"/>
          <w:szCs w:val="20"/>
        </w:rPr>
        <w:t>parvenus au stade final</w:t>
      </w:r>
      <w:r w:rsidRPr="006B2835">
        <w:rPr>
          <w:rFonts w:ascii="Calibri" w:hAnsi="Calibri"/>
          <w:color w:val="002060"/>
          <w:sz w:val="20"/>
          <w:szCs w:val="20"/>
        </w:rPr>
        <w:t xml:space="preserve"> de la livraison aux clients</w:t>
      </w:r>
    </w:p>
    <w:tbl>
      <w:tblPr>
        <w:tblStyle w:val="Grilledutableau"/>
        <w:tblW w:w="0" w:type="auto"/>
        <w:shd w:val="clear" w:color="auto" w:fill="FFFFCC"/>
        <w:tblLook w:val="04A0" w:firstRow="1" w:lastRow="0" w:firstColumn="1" w:lastColumn="0" w:noHBand="0" w:noVBand="1"/>
      </w:tblPr>
      <w:tblGrid>
        <w:gridCol w:w="10194"/>
      </w:tblGrid>
      <w:tr w:rsidR="001704C2" w:rsidTr="001704C2">
        <w:tc>
          <w:tcPr>
            <w:tcW w:w="10194" w:type="dxa"/>
            <w:shd w:val="clear" w:color="auto" w:fill="FFFFCC"/>
          </w:tcPr>
          <w:p w:rsidR="001704C2" w:rsidRDefault="001704C2" w:rsidP="001704C2">
            <w:pPr>
              <w:pStyle w:val="Corpsdetexte"/>
              <w:spacing w:before="60" w:after="60"/>
              <w:jc w:val="center"/>
              <w:rPr>
                <w:rFonts w:ascii="Calibri" w:hAnsi="Calibri"/>
                <w:color w:val="002060"/>
                <w:sz w:val="20"/>
                <w:szCs w:val="20"/>
              </w:rPr>
            </w:pPr>
            <w:r>
              <w:rPr>
                <w:rFonts w:ascii="Calibri" w:hAnsi="Calibri"/>
                <w:color w:val="002060"/>
                <w:sz w:val="20"/>
                <w:szCs w:val="20"/>
              </w:rPr>
              <w:t>Un même produit peut avoir plusieurs coûts mais qu’un seul prix de revient</w:t>
            </w:r>
          </w:p>
        </w:tc>
      </w:tr>
    </w:tbl>
    <w:p w:rsidR="002D2FB9" w:rsidRPr="00E43302" w:rsidRDefault="006B2835" w:rsidP="00E43302">
      <w:pPr>
        <w:pStyle w:val="Corpsdetexte"/>
        <w:spacing w:before="120" w:after="60"/>
        <w:rPr>
          <w:rFonts w:ascii="Calibri" w:hAnsi="Calibri"/>
          <w:b/>
          <w:color w:val="002060"/>
          <w:sz w:val="22"/>
          <w:szCs w:val="22"/>
        </w:rPr>
      </w:pPr>
      <w:r w:rsidRPr="00E43302">
        <w:rPr>
          <w:rFonts w:ascii="Calibri" w:hAnsi="Calibri"/>
          <w:b/>
          <w:color w:val="002060"/>
          <w:sz w:val="22"/>
          <w:szCs w:val="22"/>
        </w:rPr>
        <w:t>III</w:t>
      </w:r>
      <w:r w:rsidR="002D2FB9" w:rsidRPr="00E43302">
        <w:rPr>
          <w:rFonts w:ascii="Calibri" w:hAnsi="Calibri"/>
          <w:b/>
          <w:color w:val="002060"/>
          <w:sz w:val="22"/>
          <w:szCs w:val="22"/>
        </w:rPr>
        <w:t>.</w:t>
      </w:r>
      <w:r w:rsidR="007C16F3" w:rsidRPr="00E43302">
        <w:rPr>
          <w:rFonts w:ascii="Calibri" w:hAnsi="Calibri"/>
          <w:b/>
          <w:color w:val="002060"/>
          <w:sz w:val="22"/>
          <w:szCs w:val="22"/>
        </w:rPr>
        <w:t xml:space="preserve"> </w:t>
      </w:r>
      <w:r w:rsidR="002D2FB9" w:rsidRPr="00E43302">
        <w:rPr>
          <w:rFonts w:ascii="Calibri" w:hAnsi="Calibri"/>
          <w:b/>
          <w:color w:val="002060"/>
          <w:sz w:val="22"/>
          <w:szCs w:val="22"/>
        </w:rPr>
        <w:t>La classification des coûts</w:t>
      </w:r>
    </w:p>
    <w:p w:rsidR="007C16F3" w:rsidRPr="002D2FB9" w:rsidRDefault="002D2FB9" w:rsidP="002D2FB9">
      <w:pPr>
        <w:pStyle w:val="Corpsdetexte"/>
        <w:numPr>
          <w:ilvl w:val="0"/>
          <w:numId w:val="5"/>
        </w:numPr>
        <w:spacing w:after="60"/>
        <w:ind w:left="170" w:hanging="170"/>
        <w:rPr>
          <w:rFonts w:ascii="Calibri" w:hAnsi="Calibri"/>
          <w:b/>
          <w:color w:val="002060"/>
          <w:szCs w:val="22"/>
        </w:rPr>
      </w:pPr>
      <w:r>
        <w:rPr>
          <w:rFonts w:ascii="Calibri" w:hAnsi="Calibri"/>
          <w:b/>
          <w:bCs/>
          <w:color w:val="002060"/>
          <w:sz w:val="20"/>
          <w:szCs w:val="20"/>
        </w:rPr>
        <w:t>E</w:t>
      </w:r>
      <w:r w:rsidR="007C16F3" w:rsidRPr="006B2835">
        <w:rPr>
          <w:rFonts w:ascii="Calibri" w:hAnsi="Calibri"/>
          <w:b/>
          <w:bCs/>
          <w:color w:val="002060"/>
          <w:sz w:val="20"/>
          <w:szCs w:val="20"/>
        </w:rPr>
        <w:t>n fonction de leur objet</w:t>
      </w:r>
      <w:r w:rsidR="007C16F3" w:rsidRPr="006B2835">
        <w:rPr>
          <w:rFonts w:ascii="Calibri" w:hAnsi="Calibri"/>
          <w:color w:val="002060"/>
          <w:sz w:val="20"/>
          <w:szCs w:val="20"/>
        </w:rPr>
        <w:t> :</w:t>
      </w:r>
    </w:p>
    <w:p w:rsidR="007C16F3" w:rsidRPr="006B2835" w:rsidRDefault="007C16F3" w:rsidP="002D2FB9">
      <w:pPr>
        <w:pStyle w:val="Corpsdetexte"/>
        <w:tabs>
          <w:tab w:val="right" w:pos="180"/>
        </w:tabs>
        <w:spacing w:after="60"/>
        <w:ind w:left="170"/>
        <w:rPr>
          <w:rFonts w:ascii="Calibri" w:hAnsi="Calibri"/>
          <w:color w:val="002060"/>
          <w:sz w:val="20"/>
          <w:szCs w:val="20"/>
        </w:rPr>
      </w:pPr>
      <w:r w:rsidRPr="006B2835">
        <w:rPr>
          <w:rFonts w:ascii="Calibri" w:hAnsi="Calibri"/>
          <w:color w:val="002060"/>
          <w:sz w:val="20"/>
          <w:szCs w:val="20"/>
        </w:rPr>
        <w:t>On distingue alors :</w:t>
      </w:r>
    </w:p>
    <w:p w:rsidR="007C16F3" w:rsidRPr="006B2835" w:rsidRDefault="002D2FB9" w:rsidP="002D2FB9">
      <w:pPr>
        <w:pStyle w:val="Corpsdetexte"/>
        <w:tabs>
          <w:tab w:val="right" w:pos="180"/>
        </w:tabs>
        <w:spacing w:after="60"/>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4CBB0B8A" wp14:editId="3EB688C5">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b/>
          <w:bCs/>
          <w:color w:val="002060"/>
          <w:sz w:val="20"/>
          <w:szCs w:val="20"/>
        </w:rPr>
        <w:t>Les</w:t>
      </w:r>
      <w:r w:rsidR="007C16F3" w:rsidRPr="006B2835">
        <w:rPr>
          <w:rFonts w:ascii="Calibri" w:hAnsi="Calibri"/>
          <w:b/>
          <w:bCs/>
          <w:color w:val="002060"/>
          <w:sz w:val="20"/>
          <w:szCs w:val="20"/>
        </w:rPr>
        <w:t xml:space="preserve"> coûts fonctionnels</w:t>
      </w:r>
      <w:r w:rsidR="007C16F3" w:rsidRPr="006B2835">
        <w:rPr>
          <w:rFonts w:ascii="Calibri" w:hAnsi="Calibri"/>
          <w:color w:val="002060"/>
          <w:sz w:val="20"/>
          <w:szCs w:val="20"/>
        </w:rPr>
        <w:t xml:space="preserve"> se rapportant à une fonction de l’entreprise ;</w:t>
      </w:r>
    </w:p>
    <w:p w:rsidR="007C16F3" w:rsidRPr="006B2835" w:rsidRDefault="001704C2" w:rsidP="002D2FB9">
      <w:pPr>
        <w:pStyle w:val="Corpsdetexte"/>
        <w:tabs>
          <w:tab w:val="right" w:pos="360"/>
        </w:tabs>
        <w:spacing w:after="120"/>
        <w:ind w:left="340" w:hanging="170"/>
        <w:rPr>
          <w:rFonts w:ascii="Calibri" w:hAnsi="Calibri"/>
          <w:color w:val="002060"/>
          <w:sz w:val="20"/>
          <w:szCs w:val="20"/>
        </w:rPr>
      </w:pPr>
      <w:r>
        <w:pict>
          <v:shape id="_x0000_i1026" type="#_x0000_t75" alt="triangle" style="width:9pt;height:7.5pt;visibility:visible;mso-wrap-style:square">
            <v:imagedata r:id="rId6" o:title="triangle"/>
          </v:shape>
        </w:pict>
      </w:r>
      <w:r w:rsidR="002D2FB9" w:rsidRPr="006B2835">
        <w:rPr>
          <w:rFonts w:ascii="Calibri" w:hAnsi="Calibri"/>
          <w:b/>
          <w:bCs/>
          <w:color w:val="002060"/>
          <w:sz w:val="20"/>
          <w:szCs w:val="20"/>
        </w:rPr>
        <w:t>Les</w:t>
      </w:r>
      <w:r w:rsidR="007C16F3" w:rsidRPr="006B2835">
        <w:rPr>
          <w:rFonts w:ascii="Calibri" w:hAnsi="Calibri"/>
          <w:b/>
          <w:bCs/>
          <w:color w:val="002060"/>
          <w:sz w:val="20"/>
          <w:szCs w:val="20"/>
        </w:rPr>
        <w:t xml:space="preserve"> coûts opérationnels </w:t>
      </w:r>
      <w:r w:rsidR="007C16F3" w:rsidRPr="006B2835">
        <w:rPr>
          <w:rFonts w:ascii="Calibri" w:hAnsi="Calibri"/>
          <w:color w:val="002060"/>
          <w:sz w:val="20"/>
          <w:szCs w:val="20"/>
        </w:rPr>
        <w:t>se rapportant soit à une opération déterminée (usi</w:t>
      </w:r>
      <w:bookmarkStart w:id="0" w:name="_GoBack"/>
      <w:bookmarkEnd w:id="0"/>
      <w:r w:rsidR="007C16F3" w:rsidRPr="006B2835">
        <w:rPr>
          <w:rFonts w:ascii="Calibri" w:hAnsi="Calibri"/>
          <w:color w:val="002060"/>
          <w:sz w:val="20"/>
          <w:szCs w:val="20"/>
        </w:rPr>
        <w:t>nage,</w:t>
      </w:r>
      <w:r w:rsidR="007C16F3" w:rsidRPr="006B2835">
        <w:rPr>
          <w:rFonts w:ascii="Calibri" w:hAnsi="Calibri"/>
          <w:b/>
          <w:bCs/>
          <w:color w:val="002060"/>
          <w:sz w:val="20"/>
          <w:szCs w:val="20"/>
        </w:rPr>
        <w:t xml:space="preserve"> </w:t>
      </w:r>
      <w:r w:rsidR="007C16F3" w:rsidRPr="006B2835">
        <w:rPr>
          <w:rFonts w:ascii="Calibri" w:hAnsi="Calibri"/>
          <w:color w:val="002060"/>
          <w:sz w:val="20"/>
          <w:szCs w:val="20"/>
        </w:rPr>
        <w:t>montage) soit à un produit particulier</w:t>
      </w:r>
    </w:p>
    <w:p w:rsidR="007C16F3" w:rsidRPr="006B2835" w:rsidRDefault="002D2FB9" w:rsidP="002D2FB9">
      <w:pPr>
        <w:pStyle w:val="Corpsdetexte"/>
        <w:numPr>
          <w:ilvl w:val="0"/>
          <w:numId w:val="5"/>
        </w:numPr>
        <w:spacing w:after="60"/>
        <w:ind w:left="170" w:hanging="170"/>
        <w:rPr>
          <w:rFonts w:ascii="Calibri" w:hAnsi="Calibri"/>
          <w:color w:val="002060"/>
          <w:sz w:val="20"/>
          <w:szCs w:val="20"/>
        </w:rPr>
      </w:pPr>
      <w:r>
        <w:rPr>
          <w:rFonts w:ascii="Calibri" w:hAnsi="Calibri"/>
          <w:color w:val="002060"/>
          <w:sz w:val="20"/>
          <w:szCs w:val="20"/>
        </w:rPr>
        <w:t>E</w:t>
      </w:r>
      <w:r w:rsidR="007C16F3" w:rsidRPr="006B2835">
        <w:rPr>
          <w:rFonts w:ascii="Calibri" w:hAnsi="Calibri"/>
          <w:b/>
          <w:bCs/>
          <w:color w:val="002060"/>
          <w:sz w:val="20"/>
          <w:szCs w:val="20"/>
        </w:rPr>
        <w:t>n fonction du stade d’élaboration d’un produit</w:t>
      </w:r>
      <w:r w:rsidR="007C16F3" w:rsidRPr="006B2835">
        <w:rPr>
          <w:rFonts w:ascii="Calibri" w:hAnsi="Calibri"/>
          <w:color w:val="002060"/>
          <w:sz w:val="20"/>
          <w:szCs w:val="20"/>
        </w:rPr>
        <w:t> :</w:t>
      </w:r>
    </w:p>
    <w:p w:rsidR="007C16F3" w:rsidRPr="006B2835" w:rsidRDefault="004E5D35" w:rsidP="002D2FB9">
      <w:pPr>
        <w:pStyle w:val="Corpsdetexte"/>
        <w:spacing w:after="60"/>
        <w:ind w:left="170"/>
        <w:rPr>
          <w:rFonts w:ascii="Calibri" w:hAnsi="Calibri"/>
          <w:color w:val="002060"/>
          <w:sz w:val="20"/>
          <w:szCs w:val="20"/>
        </w:rPr>
      </w:pPr>
      <w:r w:rsidRPr="006B2835">
        <w:rPr>
          <w:rFonts w:ascii="Calibri" w:hAnsi="Calibri"/>
          <w:color w:val="002060"/>
          <w:sz w:val="20"/>
          <w:szCs w:val="20"/>
        </w:rPr>
        <w:t>O</w:t>
      </w:r>
      <w:r w:rsidR="007C16F3" w:rsidRPr="006B2835">
        <w:rPr>
          <w:rFonts w:ascii="Calibri" w:hAnsi="Calibri"/>
          <w:color w:val="002060"/>
          <w:sz w:val="20"/>
          <w:szCs w:val="20"/>
        </w:rPr>
        <w:t>n peut calculer :</w:t>
      </w:r>
    </w:p>
    <w:p w:rsidR="007C16F3" w:rsidRPr="006B2835" w:rsidRDefault="002D2FB9" w:rsidP="002D2FB9">
      <w:pPr>
        <w:pStyle w:val="Corpsdetexte"/>
        <w:spacing w:after="60"/>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7961E60C" wp14:editId="3BC35AB6">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Un</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 d’achat</w:t>
      </w:r>
      <w:r w:rsidR="007C16F3" w:rsidRPr="006B2835">
        <w:rPr>
          <w:rFonts w:ascii="Calibri" w:hAnsi="Calibri"/>
          <w:color w:val="002060"/>
          <w:sz w:val="20"/>
          <w:szCs w:val="20"/>
        </w:rPr>
        <w:t xml:space="preserve"> ; </w:t>
      </w:r>
    </w:p>
    <w:p w:rsidR="007C16F3" w:rsidRPr="006B2835" w:rsidRDefault="002D2FB9" w:rsidP="002D2FB9">
      <w:pPr>
        <w:pStyle w:val="Corpsdetexte"/>
        <w:spacing w:after="60"/>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4D09BD87" wp14:editId="09B8B3EC">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Un</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 de production</w:t>
      </w:r>
      <w:r w:rsidR="007C16F3" w:rsidRPr="006B2835">
        <w:rPr>
          <w:rFonts w:ascii="Calibri" w:hAnsi="Calibri"/>
          <w:color w:val="002060"/>
          <w:sz w:val="20"/>
          <w:szCs w:val="20"/>
        </w:rPr>
        <w:t> ;</w:t>
      </w:r>
    </w:p>
    <w:p w:rsidR="007C16F3" w:rsidRPr="006B2835" w:rsidRDefault="001704C2" w:rsidP="002D2FB9">
      <w:pPr>
        <w:pStyle w:val="Corpsdetexte"/>
        <w:spacing w:after="120"/>
        <w:ind w:left="170"/>
        <w:rPr>
          <w:rFonts w:ascii="Calibri" w:hAnsi="Calibri"/>
          <w:color w:val="002060"/>
          <w:sz w:val="20"/>
          <w:szCs w:val="20"/>
        </w:rPr>
      </w:pPr>
      <w:r>
        <w:pict>
          <v:shape id="_x0000_i1027" type="#_x0000_t75" alt="triangle" style="width:9pt;height:7.5pt;visibility:visible;mso-wrap-style:square">
            <v:imagedata r:id="rId6" o:title="triangle"/>
          </v:shape>
        </w:pict>
      </w:r>
      <w:r w:rsidR="002D2FB9" w:rsidRPr="006B2835">
        <w:rPr>
          <w:rFonts w:ascii="Calibri" w:hAnsi="Calibri"/>
          <w:color w:val="002060"/>
          <w:sz w:val="20"/>
          <w:szCs w:val="20"/>
        </w:rPr>
        <w:t>Un</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 de distribution</w:t>
      </w:r>
    </w:p>
    <w:p w:rsidR="007C16F3" w:rsidRPr="006B2835" w:rsidRDefault="002D2FB9" w:rsidP="002D2FB9">
      <w:pPr>
        <w:pStyle w:val="Corpsdetexte"/>
        <w:numPr>
          <w:ilvl w:val="0"/>
          <w:numId w:val="5"/>
        </w:numPr>
        <w:spacing w:after="60"/>
        <w:ind w:left="170" w:hanging="170"/>
        <w:rPr>
          <w:rFonts w:ascii="Calibri" w:hAnsi="Calibri"/>
          <w:b/>
          <w:bCs/>
          <w:color w:val="002060"/>
          <w:sz w:val="20"/>
          <w:szCs w:val="20"/>
        </w:rPr>
      </w:pPr>
      <w:r>
        <w:rPr>
          <w:rFonts w:ascii="Calibri" w:hAnsi="Calibri"/>
          <w:b/>
          <w:bCs/>
          <w:color w:val="002060"/>
          <w:sz w:val="20"/>
          <w:szCs w:val="20"/>
        </w:rPr>
        <w:t>E</w:t>
      </w:r>
      <w:r w:rsidR="007C16F3" w:rsidRPr="006B2835">
        <w:rPr>
          <w:rFonts w:ascii="Calibri" w:hAnsi="Calibri"/>
          <w:b/>
          <w:bCs/>
          <w:color w:val="002060"/>
          <w:sz w:val="20"/>
          <w:szCs w:val="20"/>
        </w:rPr>
        <w:t>n fonction de la période de calcul :</w:t>
      </w:r>
    </w:p>
    <w:p w:rsidR="007C16F3" w:rsidRPr="006B2835" w:rsidRDefault="002D2FB9" w:rsidP="002D2FB9">
      <w:pPr>
        <w:pStyle w:val="Corpsdetexte"/>
        <w:spacing w:after="60"/>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43D695BE" wp14:editId="1A3B7F08">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Un</w:t>
      </w:r>
      <w:r w:rsidR="007C16F3" w:rsidRPr="006B2835">
        <w:rPr>
          <w:rFonts w:ascii="Calibri" w:hAnsi="Calibri"/>
          <w:color w:val="002060"/>
          <w:sz w:val="20"/>
          <w:szCs w:val="20"/>
        </w:rPr>
        <w:t xml:space="preserve"> coût peut être calculé à posteriori, c’est un coût constaté ou </w:t>
      </w:r>
      <w:r w:rsidR="007C16F3" w:rsidRPr="006B2835">
        <w:rPr>
          <w:rFonts w:ascii="Calibri" w:hAnsi="Calibri"/>
          <w:b/>
          <w:bCs/>
          <w:color w:val="002060"/>
          <w:sz w:val="20"/>
          <w:szCs w:val="20"/>
        </w:rPr>
        <w:t>rée</w:t>
      </w:r>
      <w:r w:rsidR="007C16F3" w:rsidRPr="006B2835">
        <w:rPr>
          <w:rFonts w:ascii="Calibri" w:hAnsi="Calibri"/>
          <w:color w:val="002060"/>
          <w:sz w:val="20"/>
          <w:szCs w:val="20"/>
        </w:rPr>
        <w:t>l, ou « historique »</w:t>
      </w:r>
    </w:p>
    <w:p w:rsidR="007C16F3" w:rsidRPr="006B2835" w:rsidRDefault="002D2FB9" w:rsidP="002D2FB9">
      <w:pPr>
        <w:pStyle w:val="Corpsdetexte"/>
        <w:spacing w:after="60"/>
        <w:ind w:left="170"/>
        <w:rPr>
          <w:rFonts w:ascii="Calibri" w:hAnsi="Calibri"/>
          <w:b/>
          <w:bCs/>
          <w:color w:val="002060"/>
          <w:sz w:val="20"/>
          <w:szCs w:val="20"/>
        </w:rPr>
      </w:pPr>
      <w:r w:rsidRPr="00355993">
        <w:rPr>
          <w:rFonts w:ascii="Calibri" w:hAnsi="Calibri"/>
          <w:noProof/>
          <w:color w:val="002060"/>
          <w:sz w:val="20"/>
          <w:szCs w:val="20"/>
        </w:rPr>
        <w:drawing>
          <wp:inline distT="0" distB="0" distL="0" distR="0" wp14:anchorId="43D695BE" wp14:editId="1A3B7F08">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Il</w:t>
      </w:r>
      <w:r w:rsidR="007C16F3" w:rsidRPr="006B2835">
        <w:rPr>
          <w:rFonts w:ascii="Calibri" w:hAnsi="Calibri"/>
          <w:color w:val="002060"/>
          <w:sz w:val="20"/>
          <w:szCs w:val="20"/>
        </w:rPr>
        <w:t xml:space="preserve"> peut aussi l’être de façon prévisionnelle, on utilise alors les expressions </w:t>
      </w:r>
      <w:r w:rsidR="007C16F3" w:rsidRPr="006B2835">
        <w:rPr>
          <w:rFonts w:ascii="Calibri" w:hAnsi="Calibri"/>
          <w:b/>
          <w:bCs/>
          <w:color w:val="002060"/>
          <w:sz w:val="20"/>
          <w:szCs w:val="20"/>
        </w:rPr>
        <w:t>coûts  standards ou coûts préétablis</w:t>
      </w:r>
    </w:p>
    <w:p w:rsidR="007C16F3" w:rsidRPr="006B2835" w:rsidRDefault="007C16F3" w:rsidP="002D2FB9">
      <w:pPr>
        <w:pStyle w:val="Corpsdetexte"/>
        <w:spacing w:after="120"/>
        <w:ind w:left="340"/>
        <w:rPr>
          <w:rFonts w:ascii="Calibri" w:hAnsi="Calibri"/>
          <w:color w:val="002060"/>
          <w:sz w:val="20"/>
          <w:szCs w:val="20"/>
        </w:rPr>
      </w:pPr>
      <w:r w:rsidRPr="006B2835">
        <w:rPr>
          <w:rFonts w:ascii="Calibri" w:hAnsi="Calibri"/>
          <w:color w:val="002060"/>
          <w:sz w:val="20"/>
          <w:szCs w:val="20"/>
        </w:rPr>
        <w:t xml:space="preserve">Les coûts préétablis sont des </w:t>
      </w:r>
      <w:r w:rsidRPr="006B2835">
        <w:rPr>
          <w:rFonts w:ascii="Calibri" w:hAnsi="Calibri"/>
          <w:b/>
          <w:bCs/>
          <w:color w:val="002060"/>
          <w:sz w:val="20"/>
          <w:szCs w:val="20"/>
        </w:rPr>
        <w:t>coûts de référence</w:t>
      </w:r>
      <w:r w:rsidRPr="006B2835">
        <w:rPr>
          <w:rFonts w:ascii="Calibri" w:hAnsi="Calibri"/>
          <w:color w:val="002060"/>
          <w:sz w:val="20"/>
          <w:szCs w:val="20"/>
        </w:rPr>
        <w:t xml:space="preserve"> dont la comparaison avec les coûts réels permet de dégager des différences ou </w:t>
      </w:r>
      <w:r w:rsidRPr="006B2835">
        <w:rPr>
          <w:rFonts w:ascii="Calibri" w:hAnsi="Calibri"/>
          <w:b/>
          <w:bCs/>
          <w:color w:val="002060"/>
          <w:sz w:val="20"/>
          <w:szCs w:val="20"/>
        </w:rPr>
        <w:t>écart</w:t>
      </w:r>
      <w:r w:rsidRPr="006B2835">
        <w:rPr>
          <w:rFonts w:ascii="Calibri" w:hAnsi="Calibri"/>
          <w:color w:val="002060"/>
          <w:sz w:val="20"/>
          <w:szCs w:val="20"/>
        </w:rPr>
        <w:t>s utilisés pour contrôler la gestion de l’entreprise</w:t>
      </w:r>
    </w:p>
    <w:p w:rsidR="007C16F3" w:rsidRPr="006B2835" w:rsidRDefault="002D2FB9" w:rsidP="002D2FB9">
      <w:pPr>
        <w:pStyle w:val="Corpsdetexte"/>
        <w:numPr>
          <w:ilvl w:val="0"/>
          <w:numId w:val="5"/>
        </w:numPr>
        <w:spacing w:after="60"/>
        <w:ind w:left="170" w:hanging="170"/>
        <w:rPr>
          <w:rFonts w:ascii="Calibri" w:hAnsi="Calibri"/>
          <w:color w:val="002060"/>
          <w:sz w:val="20"/>
          <w:szCs w:val="20"/>
        </w:rPr>
      </w:pPr>
      <w:r w:rsidRPr="006B2835">
        <w:rPr>
          <w:rFonts w:ascii="Calibri" w:hAnsi="Calibri"/>
          <w:b/>
          <w:bCs/>
          <w:color w:val="002060"/>
          <w:sz w:val="20"/>
          <w:szCs w:val="20"/>
        </w:rPr>
        <w:t>En</w:t>
      </w:r>
      <w:r w:rsidR="007C16F3" w:rsidRPr="006B2835">
        <w:rPr>
          <w:rFonts w:ascii="Calibri" w:hAnsi="Calibri"/>
          <w:b/>
          <w:bCs/>
          <w:color w:val="002060"/>
          <w:sz w:val="20"/>
          <w:szCs w:val="20"/>
        </w:rPr>
        <w:t xml:space="preserve"> fonction de leur relation avec le volume de vente ou de production</w:t>
      </w:r>
      <w:r w:rsidR="007C16F3" w:rsidRPr="006B2835">
        <w:rPr>
          <w:rFonts w:ascii="Calibri" w:hAnsi="Calibri"/>
          <w:color w:val="002060"/>
          <w:sz w:val="20"/>
          <w:szCs w:val="20"/>
        </w:rPr>
        <w:t> :</w:t>
      </w:r>
    </w:p>
    <w:p w:rsidR="007C16F3" w:rsidRPr="006B2835" w:rsidRDefault="004E5D35" w:rsidP="002D2FB9">
      <w:pPr>
        <w:pStyle w:val="Corpsdetexte"/>
        <w:spacing w:after="60"/>
        <w:ind w:left="170"/>
        <w:rPr>
          <w:rFonts w:ascii="Calibri" w:hAnsi="Calibri"/>
          <w:color w:val="002060"/>
          <w:sz w:val="20"/>
          <w:szCs w:val="20"/>
        </w:rPr>
      </w:pPr>
      <w:r w:rsidRPr="006B2835">
        <w:rPr>
          <w:rFonts w:ascii="Calibri" w:hAnsi="Calibri"/>
          <w:color w:val="002060"/>
          <w:sz w:val="20"/>
          <w:szCs w:val="20"/>
        </w:rPr>
        <w:t>L</w:t>
      </w:r>
      <w:r w:rsidR="007C16F3" w:rsidRPr="006B2835">
        <w:rPr>
          <w:rFonts w:ascii="Calibri" w:hAnsi="Calibri"/>
          <w:color w:val="002060"/>
          <w:sz w:val="20"/>
          <w:szCs w:val="20"/>
        </w:rPr>
        <w:t>’analyse des variations du prix de revient conduit à distinguer :</w:t>
      </w:r>
    </w:p>
    <w:p w:rsidR="007C16F3" w:rsidRPr="006B2835" w:rsidRDefault="002D2FB9" w:rsidP="002D2FB9">
      <w:pPr>
        <w:pStyle w:val="Corpsdetexte"/>
        <w:tabs>
          <w:tab w:val="left" w:pos="360"/>
        </w:tabs>
        <w:spacing w:after="60"/>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47BD778C" wp14:editId="4AA00941">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Les</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coûts variables</w:t>
      </w:r>
      <w:r w:rsidR="007C16F3" w:rsidRPr="006B2835">
        <w:rPr>
          <w:rFonts w:ascii="Calibri" w:hAnsi="Calibri"/>
          <w:color w:val="002060"/>
          <w:sz w:val="20"/>
          <w:szCs w:val="20"/>
        </w:rPr>
        <w:t xml:space="preserve"> liés au volume de production ou de vente ;</w:t>
      </w:r>
    </w:p>
    <w:p w:rsidR="002D2FB9" w:rsidRDefault="002D2FB9" w:rsidP="002D2FB9">
      <w:pPr>
        <w:pStyle w:val="Corpsdetexte"/>
        <w:tabs>
          <w:tab w:val="left" w:pos="360"/>
        </w:tabs>
        <w:spacing w:after="120"/>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47BD778C" wp14:editId="4AA00941">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Les</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coûts fixes</w:t>
      </w:r>
      <w:r w:rsidR="007C16F3" w:rsidRPr="006B2835">
        <w:rPr>
          <w:rFonts w:ascii="Calibri" w:hAnsi="Calibri"/>
          <w:color w:val="002060"/>
          <w:sz w:val="20"/>
          <w:szCs w:val="20"/>
        </w:rPr>
        <w:t xml:space="preserve"> ou </w:t>
      </w:r>
      <w:r w:rsidR="007C16F3" w:rsidRPr="006B2835">
        <w:rPr>
          <w:rFonts w:ascii="Calibri" w:hAnsi="Calibri"/>
          <w:b/>
          <w:bCs/>
          <w:color w:val="002060"/>
          <w:sz w:val="20"/>
          <w:szCs w:val="20"/>
        </w:rPr>
        <w:t>coûts de structure</w:t>
      </w:r>
      <w:r w:rsidR="007C16F3" w:rsidRPr="006B2835">
        <w:rPr>
          <w:rFonts w:ascii="Calibri" w:hAnsi="Calibri"/>
          <w:color w:val="002060"/>
          <w:sz w:val="20"/>
          <w:szCs w:val="20"/>
        </w:rPr>
        <w:t xml:space="preserve"> indépendants du volume de production ou de vente</w:t>
      </w:r>
    </w:p>
    <w:p w:rsidR="007C16F3" w:rsidRPr="002D2FB9" w:rsidRDefault="002D2FB9" w:rsidP="002D2FB9">
      <w:pPr>
        <w:pStyle w:val="Corpsdetexte"/>
        <w:numPr>
          <w:ilvl w:val="0"/>
          <w:numId w:val="5"/>
        </w:numPr>
        <w:tabs>
          <w:tab w:val="left" w:pos="360"/>
        </w:tabs>
        <w:spacing w:after="60"/>
        <w:ind w:left="170" w:hanging="170"/>
        <w:rPr>
          <w:rFonts w:ascii="Calibri" w:hAnsi="Calibri"/>
          <w:color w:val="002060"/>
          <w:sz w:val="20"/>
          <w:szCs w:val="20"/>
        </w:rPr>
      </w:pPr>
      <w:r>
        <w:rPr>
          <w:rFonts w:ascii="Calibri" w:hAnsi="Calibri"/>
          <w:b/>
          <w:bCs/>
          <w:color w:val="002060"/>
          <w:sz w:val="20"/>
          <w:szCs w:val="20"/>
        </w:rPr>
        <w:t>E</w:t>
      </w:r>
      <w:r w:rsidR="007C16F3" w:rsidRPr="002D2FB9">
        <w:rPr>
          <w:rFonts w:ascii="Calibri" w:hAnsi="Calibri"/>
          <w:b/>
          <w:bCs/>
          <w:color w:val="002060"/>
          <w:sz w:val="20"/>
          <w:szCs w:val="20"/>
        </w:rPr>
        <w:t>n fonction de leur contenu</w:t>
      </w:r>
      <w:r w:rsidR="007C16F3" w:rsidRPr="002D2FB9">
        <w:rPr>
          <w:rFonts w:ascii="Calibri" w:hAnsi="Calibri"/>
          <w:color w:val="002060"/>
          <w:sz w:val="20"/>
          <w:szCs w:val="20"/>
        </w:rPr>
        <w:t> :</w:t>
      </w:r>
    </w:p>
    <w:p w:rsidR="007C16F3" w:rsidRDefault="007C16F3" w:rsidP="002D2FB9">
      <w:pPr>
        <w:pStyle w:val="Corpsdetexte"/>
        <w:tabs>
          <w:tab w:val="left" w:pos="360"/>
        </w:tabs>
        <w:spacing w:after="60"/>
        <w:ind w:left="170"/>
        <w:rPr>
          <w:rFonts w:ascii="Calibri" w:hAnsi="Calibri"/>
          <w:color w:val="002060"/>
          <w:sz w:val="20"/>
          <w:szCs w:val="20"/>
        </w:rPr>
      </w:pPr>
      <w:r w:rsidRPr="006B2835">
        <w:rPr>
          <w:rFonts w:ascii="Calibri" w:hAnsi="Calibri"/>
          <w:color w:val="002060"/>
          <w:sz w:val="20"/>
          <w:szCs w:val="20"/>
        </w:rPr>
        <w:t>On distingue :</w:t>
      </w:r>
    </w:p>
    <w:p w:rsidR="006B2835" w:rsidRDefault="002D2FB9" w:rsidP="002D2FB9">
      <w:pPr>
        <w:pStyle w:val="Corpsdetexte"/>
        <w:tabs>
          <w:tab w:val="left" w:pos="360"/>
        </w:tabs>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2F2A5FFC" wp14:editId="07B12629">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Les</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w:t>
      </w:r>
      <w:r w:rsidR="004E5D35" w:rsidRPr="006B2835">
        <w:rPr>
          <w:rFonts w:ascii="Calibri" w:hAnsi="Calibri"/>
          <w:b/>
          <w:bCs/>
          <w:color w:val="002060"/>
          <w:sz w:val="20"/>
          <w:szCs w:val="20"/>
        </w:rPr>
        <w:t>s</w:t>
      </w:r>
      <w:r w:rsidR="007C16F3" w:rsidRPr="006B2835">
        <w:rPr>
          <w:rFonts w:ascii="Calibri" w:hAnsi="Calibri"/>
          <w:b/>
          <w:bCs/>
          <w:color w:val="002060"/>
          <w:sz w:val="20"/>
          <w:szCs w:val="20"/>
        </w:rPr>
        <w:t xml:space="preserve"> directs</w:t>
      </w:r>
      <w:r w:rsidR="007C16F3" w:rsidRPr="006B2835">
        <w:rPr>
          <w:rFonts w:ascii="Calibri" w:hAnsi="Calibri"/>
          <w:color w:val="002060"/>
          <w:sz w:val="20"/>
          <w:szCs w:val="20"/>
        </w:rPr>
        <w:t xml:space="preserve"> : </w:t>
      </w:r>
    </w:p>
    <w:p w:rsidR="006B2835" w:rsidRDefault="006B2835" w:rsidP="002D2FB9">
      <w:pPr>
        <w:pStyle w:val="Corpsdetexte"/>
        <w:tabs>
          <w:tab w:val="left" w:pos="360"/>
        </w:tabs>
        <w:spacing w:after="60"/>
        <w:ind w:left="340"/>
        <w:rPr>
          <w:rFonts w:ascii="Calibri" w:hAnsi="Calibri"/>
          <w:color w:val="002060"/>
          <w:sz w:val="20"/>
          <w:szCs w:val="20"/>
        </w:rPr>
      </w:pPr>
      <w:r>
        <w:rPr>
          <w:rFonts w:ascii="Calibri" w:hAnsi="Calibri"/>
          <w:color w:val="002060"/>
          <w:sz w:val="20"/>
          <w:szCs w:val="20"/>
        </w:rPr>
        <w:t>E</w:t>
      </w:r>
      <w:r w:rsidR="007C16F3" w:rsidRPr="006B2835">
        <w:rPr>
          <w:rFonts w:ascii="Calibri" w:hAnsi="Calibri"/>
          <w:color w:val="002060"/>
          <w:sz w:val="20"/>
          <w:szCs w:val="20"/>
        </w:rPr>
        <w:t xml:space="preserve">nsemble de charges </w:t>
      </w:r>
      <w:r w:rsidR="007C16F3" w:rsidRPr="006B2835">
        <w:rPr>
          <w:rFonts w:ascii="Calibri" w:hAnsi="Calibri"/>
          <w:b/>
          <w:bCs/>
          <w:color w:val="002060"/>
          <w:sz w:val="20"/>
          <w:szCs w:val="20"/>
        </w:rPr>
        <w:t>affectables</w:t>
      </w:r>
      <w:r w:rsidR="007C16F3" w:rsidRPr="006B2835">
        <w:rPr>
          <w:rFonts w:ascii="Calibri" w:hAnsi="Calibri"/>
          <w:color w:val="002060"/>
          <w:sz w:val="20"/>
          <w:szCs w:val="20"/>
        </w:rPr>
        <w:t xml:space="preserve"> à un objet unique ou à une destination unique (un seul produit, </w:t>
      </w:r>
      <w:proofErr w:type="gramStart"/>
      <w:r w:rsidR="007C16F3" w:rsidRPr="006B2835">
        <w:rPr>
          <w:rFonts w:ascii="Calibri" w:hAnsi="Calibri"/>
          <w:color w:val="002060"/>
          <w:sz w:val="20"/>
          <w:szCs w:val="20"/>
        </w:rPr>
        <w:t>un seule commande</w:t>
      </w:r>
      <w:proofErr w:type="gramEnd"/>
      <w:r w:rsidR="007C16F3" w:rsidRPr="006B2835">
        <w:rPr>
          <w:rFonts w:ascii="Calibri" w:hAnsi="Calibri"/>
          <w:color w:val="002060"/>
          <w:sz w:val="20"/>
          <w:szCs w:val="20"/>
        </w:rPr>
        <w:t xml:space="preserve">, un seul secteur, un seul centre, </w:t>
      </w:r>
      <w:r w:rsidR="00E43302" w:rsidRPr="006B2835">
        <w:rPr>
          <w:rFonts w:ascii="Calibri" w:hAnsi="Calibri"/>
          <w:color w:val="002060"/>
          <w:sz w:val="20"/>
          <w:szCs w:val="20"/>
        </w:rPr>
        <w:t>etc.</w:t>
      </w:r>
      <w:r w:rsidR="007C16F3" w:rsidRPr="006B2835">
        <w:rPr>
          <w:rFonts w:ascii="Calibri" w:hAnsi="Calibri"/>
          <w:color w:val="002060"/>
          <w:sz w:val="20"/>
          <w:szCs w:val="20"/>
        </w:rPr>
        <w:t>) ;</w:t>
      </w:r>
    </w:p>
    <w:p w:rsidR="006B2835" w:rsidRDefault="002D2FB9" w:rsidP="002D2FB9">
      <w:pPr>
        <w:pStyle w:val="Corpsdetexte"/>
        <w:tabs>
          <w:tab w:val="left" w:pos="360"/>
        </w:tabs>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2F2A5FFC" wp14:editId="07B12629">
            <wp:extent cx="114300" cy="95250"/>
            <wp:effectExtent l="0" t="0" r="0" b="0"/>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Les</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coûts semi-directs</w:t>
      </w:r>
      <w:r w:rsidR="007C16F3" w:rsidRPr="006B2835">
        <w:rPr>
          <w:rFonts w:ascii="Calibri" w:hAnsi="Calibri"/>
          <w:color w:val="002060"/>
          <w:sz w:val="20"/>
          <w:szCs w:val="20"/>
        </w:rPr>
        <w:t xml:space="preserve"> : </w:t>
      </w:r>
    </w:p>
    <w:p w:rsidR="006B2835" w:rsidRDefault="006B2835" w:rsidP="002D2FB9">
      <w:pPr>
        <w:pStyle w:val="Corpsdetexte"/>
        <w:tabs>
          <w:tab w:val="left" w:pos="360"/>
        </w:tabs>
        <w:spacing w:after="60"/>
        <w:ind w:left="340"/>
        <w:rPr>
          <w:rFonts w:ascii="Calibri" w:hAnsi="Calibri"/>
          <w:color w:val="002060"/>
          <w:sz w:val="20"/>
          <w:szCs w:val="20"/>
        </w:rPr>
      </w:pPr>
      <w:r w:rsidRPr="006B2835">
        <w:rPr>
          <w:rFonts w:ascii="Calibri" w:hAnsi="Calibri"/>
          <w:color w:val="002060"/>
          <w:sz w:val="20"/>
          <w:szCs w:val="20"/>
        </w:rPr>
        <w:t>Charges</w:t>
      </w:r>
      <w:r w:rsidR="007C16F3" w:rsidRPr="006B2835">
        <w:rPr>
          <w:rFonts w:ascii="Calibri" w:hAnsi="Calibri"/>
          <w:color w:val="002060"/>
          <w:sz w:val="20"/>
          <w:szCs w:val="20"/>
        </w:rPr>
        <w:t xml:space="preserve"> directes par rapport à un objet de coût, le centre d’analyse mais indirectes par rapport à un autre, le produit ou  la commande ;</w:t>
      </w:r>
    </w:p>
    <w:p w:rsidR="006B2835" w:rsidRDefault="002D2FB9" w:rsidP="002D2FB9">
      <w:pPr>
        <w:pStyle w:val="Corpsdetexte"/>
        <w:tabs>
          <w:tab w:val="left" w:pos="360"/>
        </w:tabs>
        <w:ind w:left="170"/>
        <w:rPr>
          <w:rFonts w:ascii="Calibri" w:hAnsi="Calibri"/>
          <w:color w:val="002060"/>
          <w:sz w:val="20"/>
          <w:szCs w:val="20"/>
        </w:rPr>
      </w:pPr>
      <w:r w:rsidRPr="00355993">
        <w:rPr>
          <w:rFonts w:ascii="Calibri" w:hAnsi="Calibri"/>
          <w:noProof/>
          <w:color w:val="002060"/>
          <w:sz w:val="20"/>
          <w:szCs w:val="20"/>
        </w:rPr>
        <w:drawing>
          <wp:inline distT="0" distB="0" distL="0" distR="0" wp14:anchorId="2F2A5FFC" wp14:editId="07B12629">
            <wp:extent cx="114300" cy="95250"/>
            <wp:effectExtent l="0" t="0" r="0" b="0"/>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B2835">
        <w:rPr>
          <w:rFonts w:ascii="Calibri" w:hAnsi="Calibri"/>
          <w:color w:val="002060"/>
          <w:sz w:val="20"/>
          <w:szCs w:val="20"/>
        </w:rPr>
        <w:t>Les</w:t>
      </w:r>
      <w:r w:rsidR="007C16F3" w:rsidRPr="006B2835">
        <w:rPr>
          <w:rFonts w:ascii="Calibri" w:hAnsi="Calibri"/>
          <w:color w:val="002060"/>
          <w:sz w:val="20"/>
          <w:szCs w:val="20"/>
        </w:rPr>
        <w:t xml:space="preserve"> </w:t>
      </w:r>
      <w:r w:rsidR="007C16F3" w:rsidRPr="006B2835">
        <w:rPr>
          <w:rFonts w:ascii="Calibri" w:hAnsi="Calibri"/>
          <w:b/>
          <w:bCs/>
          <w:color w:val="002060"/>
          <w:sz w:val="20"/>
          <w:szCs w:val="20"/>
        </w:rPr>
        <w:t>coûts indirects</w:t>
      </w:r>
      <w:r w:rsidR="007C16F3" w:rsidRPr="006B2835">
        <w:rPr>
          <w:rFonts w:ascii="Calibri" w:hAnsi="Calibri"/>
          <w:color w:val="002060"/>
          <w:sz w:val="20"/>
          <w:szCs w:val="20"/>
        </w:rPr>
        <w:t xml:space="preserve"> : </w:t>
      </w:r>
    </w:p>
    <w:p w:rsidR="006B2835" w:rsidRDefault="007C16F3" w:rsidP="002D2FB9">
      <w:pPr>
        <w:pStyle w:val="Corpsdetexte"/>
        <w:tabs>
          <w:tab w:val="left" w:pos="360"/>
        </w:tabs>
        <w:spacing w:after="60"/>
        <w:ind w:left="340"/>
        <w:rPr>
          <w:rFonts w:ascii="Calibri" w:hAnsi="Calibri"/>
          <w:color w:val="002060"/>
          <w:sz w:val="20"/>
          <w:szCs w:val="20"/>
        </w:rPr>
      </w:pPr>
      <w:r w:rsidRPr="006B2835">
        <w:rPr>
          <w:rFonts w:ascii="Calibri" w:hAnsi="Calibri"/>
          <w:color w:val="002060"/>
          <w:sz w:val="20"/>
          <w:szCs w:val="20"/>
        </w:rPr>
        <w:t>La plupart des charges sont directement affectables à des centres d’analyse ou sections. Mais il y a toujours des charges communes à plusieurs sections. On les partage alors entre les sections intéressées suivant des coefficients appelés « </w:t>
      </w:r>
      <w:r w:rsidRPr="006B2835">
        <w:rPr>
          <w:rFonts w:ascii="Calibri" w:hAnsi="Calibri"/>
          <w:b/>
          <w:bCs/>
          <w:color w:val="002060"/>
          <w:sz w:val="20"/>
          <w:szCs w:val="20"/>
        </w:rPr>
        <w:t>clés de répartition</w:t>
      </w:r>
      <w:r w:rsidRPr="006B2835">
        <w:rPr>
          <w:rFonts w:ascii="Calibri" w:hAnsi="Calibri"/>
          <w:color w:val="002060"/>
          <w:sz w:val="20"/>
          <w:szCs w:val="20"/>
        </w:rPr>
        <w:t> ». Exemples : la surface des ateliers pour la répartition des loyers, la valeur des locaux ou du matériel pour la répartition des frais d’assurance, le volume des locaux pour les dépenses de chauffage, etc.</w:t>
      </w:r>
    </w:p>
    <w:p w:rsidR="007C16F3" w:rsidRPr="006B2835" w:rsidRDefault="007C16F3" w:rsidP="002D2FB9">
      <w:pPr>
        <w:pStyle w:val="Corpsdetexte"/>
        <w:tabs>
          <w:tab w:val="left" w:pos="360"/>
        </w:tabs>
        <w:spacing w:after="120"/>
        <w:ind w:left="170"/>
        <w:rPr>
          <w:rFonts w:ascii="Calibri" w:hAnsi="Calibri"/>
          <w:color w:val="002060"/>
          <w:sz w:val="20"/>
          <w:szCs w:val="20"/>
        </w:rPr>
      </w:pPr>
      <w:r w:rsidRPr="006B2835">
        <w:rPr>
          <w:rFonts w:ascii="Calibri" w:hAnsi="Calibri"/>
          <w:color w:val="002060"/>
          <w:sz w:val="20"/>
          <w:szCs w:val="20"/>
        </w:rPr>
        <w:t>L’ensemble des coûts (semi-directs et indirects) des centres d’analyse est imputé au coût des produits (biens ou services) ou des commandes en fonction d’une unité commune dite « </w:t>
      </w:r>
      <w:r w:rsidRPr="006B2835">
        <w:rPr>
          <w:rFonts w:ascii="Calibri" w:hAnsi="Calibri"/>
          <w:b/>
          <w:bCs/>
          <w:color w:val="002060"/>
          <w:sz w:val="20"/>
          <w:szCs w:val="20"/>
        </w:rPr>
        <w:t>unité d’œuvre</w:t>
      </w:r>
      <w:r w:rsidRPr="006B2835">
        <w:rPr>
          <w:rFonts w:ascii="Calibri" w:hAnsi="Calibri"/>
          <w:color w:val="002060"/>
          <w:sz w:val="20"/>
          <w:szCs w:val="20"/>
        </w:rPr>
        <w:t xml:space="preserve"> » </w:t>
      </w:r>
    </w:p>
    <w:p w:rsidR="007C16F3" w:rsidRPr="00E43302" w:rsidRDefault="007C16F3" w:rsidP="006E57B8">
      <w:pPr>
        <w:pStyle w:val="Corpsdetexte"/>
        <w:spacing w:after="60"/>
        <w:rPr>
          <w:rFonts w:ascii="Calibri" w:hAnsi="Calibri"/>
          <w:b/>
          <w:color w:val="002060"/>
          <w:sz w:val="22"/>
        </w:rPr>
      </w:pPr>
      <w:r w:rsidRPr="00E43302">
        <w:rPr>
          <w:rFonts w:ascii="Calibri" w:hAnsi="Calibri"/>
          <w:b/>
          <w:color w:val="002060"/>
          <w:sz w:val="22"/>
        </w:rPr>
        <w:t>I</w:t>
      </w:r>
      <w:r w:rsidR="002D2FB9" w:rsidRPr="00E43302">
        <w:rPr>
          <w:rFonts w:ascii="Calibri" w:hAnsi="Calibri"/>
          <w:b/>
          <w:color w:val="002060"/>
          <w:sz w:val="22"/>
        </w:rPr>
        <w:t>V.</w:t>
      </w:r>
      <w:r w:rsidRPr="00E43302">
        <w:rPr>
          <w:rFonts w:ascii="Calibri" w:hAnsi="Calibri"/>
          <w:b/>
          <w:color w:val="002060"/>
          <w:sz w:val="22"/>
        </w:rPr>
        <w:t xml:space="preserve"> </w:t>
      </w:r>
      <w:r w:rsidR="002D2FB9" w:rsidRPr="00E43302">
        <w:rPr>
          <w:rFonts w:ascii="Calibri" w:hAnsi="Calibri"/>
          <w:b/>
          <w:color w:val="002060"/>
          <w:sz w:val="22"/>
        </w:rPr>
        <w:t>L’unité d’œuvre</w:t>
      </w:r>
      <w:r w:rsidRPr="00E43302">
        <w:rPr>
          <w:rFonts w:ascii="Calibri" w:hAnsi="Calibri"/>
          <w:color w:val="002060"/>
          <w:sz w:val="18"/>
          <w:szCs w:val="20"/>
        </w:rPr>
        <w:tab/>
      </w:r>
    </w:p>
    <w:p w:rsidR="007C16F3" w:rsidRPr="006B2835" w:rsidRDefault="007C16F3" w:rsidP="006E57B8">
      <w:pPr>
        <w:pStyle w:val="Corpsdetexte"/>
        <w:spacing w:after="60"/>
        <w:rPr>
          <w:rFonts w:ascii="Calibri" w:hAnsi="Calibri"/>
          <w:color w:val="002060"/>
          <w:sz w:val="20"/>
          <w:szCs w:val="20"/>
        </w:rPr>
      </w:pPr>
      <w:r w:rsidRPr="006B2835">
        <w:rPr>
          <w:rFonts w:ascii="Calibri" w:hAnsi="Calibri"/>
          <w:color w:val="002060"/>
          <w:sz w:val="20"/>
          <w:szCs w:val="20"/>
        </w:rPr>
        <w:t xml:space="preserve">L’unité d’œuvre est une </w:t>
      </w:r>
      <w:r w:rsidRPr="006B2835">
        <w:rPr>
          <w:rFonts w:ascii="Calibri" w:hAnsi="Calibri"/>
          <w:b/>
          <w:bCs/>
          <w:color w:val="002060"/>
          <w:sz w:val="20"/>
          <w:szCs w:val="20"/>
        </w:rPr>
        <w:t>unité de mesure</w:t>
      </w:r>
      <w:r w:rsidRPr="006B2835">
        <w:rPr>
          <w:rFonts w:ascii="Calibri" w:hAnsi="Calibri"/>
          <w:color w:val="002060"/>
          <w:sz w:val="20"/>
          <w:szCs w:val="20"/>
        </w:rPr>
        <w:t xml:space="preserve"> dans un centre d’analyse servant à </w:t>
      </w:r>
      <w:r w:rsidRPr="006B2835">
        <w:rPr>
          <w:rFonts w:ascii="Calibri" w:hAnsi="Calibri"/>
          <w:b/>
          <w:bCs/>
          <w:color w:val="002060"/>
          <w:sz w:val="20"/>
          <w:szCs w:val="20"/>
        </w:rPr>
        <w:t>imputer</w:t>
      </w:r>
      <w:r w:rsidRPr="006B2835">
        <w:rPr>
          <w:rFonts w:ascii="Calibri" w:hAnsi="Calibri"/>
          <w:color w:val="002060"/>
          <w:sz w:val="20"/>
          <w:szCs w:val="20"/>
        </w:rPr>
        <w:t xml:space="preserve"> le coût de ce centre aux coûts des produits ou des commandes.</w:t>
      </w:r>
    </w:p>
    <w:p w:rsidR="007C16F3" w:rsidRPr="006B2835" w:rsidRDefault="007C16F3" w:rsidP="006E57B8">
      <w:pPr>
        <w:pStyle w:val="Corpsdetexte"/>
        <w:spacing w:after="60"/>
        <w:rPr>
          <w:rFonts w:ascii="Calibri" w:hAnsi="Calibri"/>
          <w:color w:val="002060"/>
          <w:sz w:val="20"/>
          <w:szCs w:val="20"/>
        </w:rPr>
      </w:pPr>
      <w:r w:rsidRPr="006B2835">
        <w:rPr>
          <w:rFonts w:ascii="Calibri" w:hAnsi="Calibri"/>
          <w:color w:val="002060"/>
          <w:sz w:val="20"/>
          <w:szCs w:val="20"/>
        </w:rPr>
        <w:lastRenderedPageBreak/>
        <w:t>Quelle unité d’œuvre retenir ?</w:t>
      </w:r>
    </w:p>
    <w:p w:rsidR="007C16F3" w:rsidRPr="006B2835" w:rsidRDefault="006B2835" w:rsidP="006E57B8">
      <w:pPr>
        <w:pStyle w:val="Corpsdetexte"/>
        <w:spacing w:after="60"/>
        <w:ind w:left="170" w:hanging="170"/>
        <w:rPr>
          <w:rFonts w:ascii="Calibri" w:hAnsi="Calibri"/>
          <w:color w:val="002060"/>
          <w:sz w:val="20"/>
          <w:szCs w:val="20"/>
        </w:rPr>
      </w:pPr>
      <w:r w:rsidRPr="00355993">
        <w:rPr>
          <w:rFonts w:ascii="Calibri" w:hAnsi="Calibri"/>
          <w:noProof/>
          <w:color w:val="002060"/>
          <w:sz w:val="20"/>
          <w:szCs w:val="20"/>
        </w:rPr>
        <w:drawing>
          <wp:inline distT="0" distB="0" distL="0" distR="0" wp14:anchorId="0F5B7711" wp14:editId="42F37050">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C16F3" w:rsidRPr="006B2835">
        <w:rPr>
          <w:rFonts w:ascii="Calibri" w:hAnsi="Calibri"/>
          <w:color w:val="002060"/>
          <w:sz w:val="20"/>
          <w:szCs w:val="20"/>
        </w:rPr>
        <w:t xml:space="preserve">Il y a lieu de choisir l’heure de main-d’œuvre, lorsque dans un centre de travail, la production réalisée par l’opérateur ou par l’équipe peut être pointée et que les temps de travail de l’opérateur et de la machine qu’il sert sont étroitement </w:t>
      </w:r>
      <w:r w:rsidR="00573740" w:rsidRPr="006B2835">
        <w:rPr>
          <w:rFonts w:ascii="Calibri" w:hAnsi="Calibri"/>
          <w:color w:val="002060"/>
          <w:sz w:val="20"/>
          <w:szCs w:val="20"/>
        </w:rPr>
        <w:t>liés.</w:t>
      </w:r>
      <w:r w:rsidR="007C16F3" w:rsidRPr="006B2835">
        <w:rPr>
          <w:rFonts w:ascii="Calibri" w:hAnsi="Calibri"/>
          <w:color w:val="002060"/>
          <w:sz w:val="20"/>
          <w:szCs w:val="20"/>
        </w:rPr>
        <w:tab/>
      </w:r>
    </w:p>
    <w:p w:rsidR="007C16F3" w:rsidRPr="006B2835" w:rsidRDefault="006B2835" w:rsidP="006E57B8">
      <w:pPr>
        <w:pStyle w:val="Corpsdetexte"/>
        <w:spacing w:after="60"/>
        <w:ind w:left="170" w:hanging="170"/>
        <w:rPr>
          <w:rFonts w:ascii="Calibri" w:hAnsi="Calibri"/>
          <w:color w:val="002060"/>
          <w:sz w:val="20"/>
          <w:szCs w:val="20"/>
        </w:rPr>
      </w:pPr>
      <w:r w:rsidRPr="00355993">
        <w:rPr>
          <w:rFonts w:ascii="Calibri" w:hAnsi="Calibri"/>
          <w:noProof/>
          <w:color w:val="002060"/>
          <w:sz w:val="20"/>
          <w:szCs w:val="20"/>
        </w:rPr>
        <w:drawing>
          <wp:inline distT="0" distB="0" distL="0" distR="0" wp14:anchorId="0F5B7711" wp14:editId="42F37050">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C16F3" w:rsidRPr="006B2835">
        <w:rPr>
          <w:rFonts w:ascii="Calibri" w:hAnsi="Calibri"/>
          <w:color w:val="002060"/>
          <w:sz w:val="20"/>
          <w:szCs w:val="20"/>
        </w:rPr>
        <w:t xml:space="preserve">L’heure de machine doit être </w:t>
      </w:r>
      <w:r w:rsidR="00573740" w:rsidRPr="006B2835">
        <w:rPr>
          <w:rFonts w:ascii="Calibri" w:hAnsi="Calibri"/>
          <w:color w:val="002060"/>
          <w:sz w:val="20"/>
          <w:szCs w:val="20"/>
        </w:rPr>
        <w:t>choisie</w:t>
      </w:r>
      <w:r w:rsidR="007C16F3" w:rsidRPr="006B2835">
        <w:rPr>
          <w:rFonts w:ascii="Calibri" w:hAnsi="Calibri"/>
          <w:color w:val="002060"/>
          <w:sz w:val="20"/>
          <w:szCs w:val="20"/>
        </w:rPr>
        <w:t xml:space="preserve"> lorsqu’il est possible de pointer la production que chaque machine réalise, que le temps de fonctionnement de la machine est sans rapport avec le temps de travail de l’opérateur qui la sert, que l’amortissement et/ou les frais de fonctionnement du matériel sont beaucoup plus importants que les frais de main-d’œuvre correspondants</w:t>
      </w:r>
    </w:p>
    <w:p w:rsidR="007C16F3" w:rsidRPr="006B2835" w:rsidRDefault="006B2835" w:rsidP="006E57B8">
      <w:pPr>
        <w:pStyle w:val="Corpsdetexte"/>
        <w:spacing w:after="60"/>
        <w:ind w:left="170" w:hanging="170"/>
        <w:rPr>
          <w:rFonts w:ascii="Calibri" w:hAnsi="Calibri"/>
          <w:color w:val="002060"/>
          <w:sz w:val="20"/>
          <w:szCs w:val="20"/>
        </w:rPr>
      </w:pPr>
      <w:r w:rsidRPr="00355993">
        <w:rPr>
          <w:rFonts w:ascii="Calibri" w:hAnsi="Calibri"/>
          <w:noProof/>
          <w:color w:val="002060"/>
          <w:sz w:val="20"/>
          <w:szCs w:val="20"/>
        </w:rPr>
        <w:drawing>
          <wp:inline distT="0" distB="0" distL="0" distR="0" wp14:anchorId="0F5B7711" wp14:editId="42F37050">
            <wp:extent cx="114300" cy="95250"/>
            <wp:effectExtent l="0" t="0" r="0" b="0"/>
            <wp:docPr id="3" name="Image 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C16F3" w:rsidRPr="006B2835">
        <w:rPr>
          <w:rFonts w:ascii="Calibri" w:hAnsi="Calibri"/>
          <w:color w:val="002060"/>
          <w:sz w:val="20"/>
          <w:szCs w:val="20"/>
        </w:rPr>
        <w:t xml:space="preserve">L’unité de fourniture travaillée exprimée en nombre, poids, volume, surface, longueur, </w:t>
      </w:r>
      <w:proofErr w:type="spellStart"/>
      <w:r w:rsidR="007C16F3" w:rsidRPr="006B2835">
        <w:rPr>
          <w:rFonts w:ascii="Calibri" w:hAnsi="Calibri"/>
          <w:color w:val="002060"/>
          <w:sz w:val="20"/>
          <w:szCs w:val="20"/>
        </w:rPr>
        <w:t>etc</w:t>
      </w:r>
      <w:proofErr w:type="spellEnd"/>
      <w:r w:rsidR="007C16F3" w:rsidRPr="006B2835">
        <w:rPr>
          <w:rFonts w:ascii="Calibri" w:hAnsi="Calibri"/>
          <w:color w:val="002060"/>
          <w:sz w:val="20"/>
          <w:szCs w:val="20"/>
        </w:rPr>
        <w:t>, est à retenir, lorsque les temps de main-d’œuvre et les temps machine par produit sont impossibles ou difficiles à pointer, que les fournitures travaillées par le centre font l’objet d’un pointage</w:t>
      </w:r>
      <w:r w:rsidR="007C16F3" w:rsidRPr="006B2835">
        <w:rPr>
          <w:rFonts w:ascii="Calibri" w:hAnsi="Calibri"/>
          <w:color w:val="002060"/>
          <w:sz w:val="20"/>
          <w:szCs w:val="20"/>
        </w:rPr>
        <w:tab/>
      </w:r>
    </w:p>
    <w:p w:rsidR="007C16F3" w:rsidRPr="006B2835" w:rsidRDefault="006B2835" w:rsidP="006E57B8">
      <w:pPr>
        <w:pStyle w:val="Corpsdetexte"/>
        <w:spacing w:after="60"/>
        <w:ind w:left="170" w:hanging="170"/>
        <w:rPr>
          <w:rFonts w:ascii="Calibri" w:hAnsi="Calibri"/>
          <w:color w:val="002060"/>
          <w:sz w:val="20"/>
          <w:szCs w:val="20"/>
        </w:rPr>
      </w:pPr>
      <w:r w:rsidRPr="00355993">
        <w:rPr>
          <w:rFonts w:ascii="Calibri" w:hAnsi="Calibri"/>
          <w:noProof/>
          <w:color w:val="002060"/>
          <w:sz w:val="20"/>
          <w:szCs w:val="20"/>
        </w:rPr>
        <w:drawing>
          <wp:inline distT="0" distB="0" distL="0" distR="0" wp14:anchorId="0F5B7711" wp14:editId="42F37050">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C16F3" w:rsidRPr="006B2835">
        <w:rPr>
          <w:rFonts w:ascii="Calibri" w:hAnsi="Calibri"/>
          <w:color w:val="002060"/>
          <w:sz w:val="20"/>
          <w:szCs w:val="20"/>
        </w:rPr>
        <w:t xml:space="preserve">Il est possible de choisir l’unité de produit exprimée en nombre, poids, volume, surface, longueur, </w:t>
      </w:r>
      <w:proofErr w:type="spellStart"/>
      <w:r w:rsidR="007C16F3" w:rsidRPr="006B2835">
        <w:rPr>
          <w:rFonts w:ascii="Calibri" w:hAnsi="Calibri"/>
          <w:color w:val="002060"/>
          <w:sz w:val="20"/>
          <w:szCs w:val="20"/>
        </w:rPr>
        <w:t>etc</w:t>
      </w:r>
      <w:proofErr w:type="spellEnd"/>
      <w:r w:rsidR="007C16F3" w:rsidRPr="006B2835">
        <w:rPr>
          <w:rFonts w:ascii="Calibri" w:hAnsi="Calibri"/>
          <w:color w:val="002060"/>
          <w:sz w:val="20"/>
          <w:szCs w:val="20"/>
        </w:rPr>
        <w:t>, élaboré dans le centre de travail, lorsque ce dernier n’intervient dans le processus d’élaboration que d’un seul produit ou pour des produits pouvant être ramenés à une unité type d’équivalence</w:t>
      </w:r>
      <w:r w:rsidR="004E5D35" w:rsidRPr="006B2835">
        <w:rPr>
          <w:rFonts w:ascii="Calibri" w:hAnsi="Calibri"/>
          <w:color w:val="002060"/>
          <w:sz w:val="20"/>
          <w:szCs w:val="20"/>
        </w:rPr>
        <w:tab/>
      </w:r>
      <w:r w:rsidR="004E5D35" w:rsidRPr="006B2835">
        <w:rPr>
          <w:rFonts w:ascii="Calibri" w:hAnsi="Calibri"/>
          <w:color w:val="002060"/>
          <w:sz w:val="20"/>
          <w:szCs w:val="20"/>
        </w:rPr>
        <w:tab/>
      </w:r>
      <w:r w:rsidR="004E5D35" w:rsidRPr="006B2835">
        <w:rPr>
          <w:rFonts w:ascii="Calibri" w:hAnsi="Calibri"/>
          <w:color w:val="002060"/>
          <w:sz w:val="20"/>
          <w:szCs w:val="20"/>
        </w:rPr>
        <w:tab/>
      </w:r>
      <w:r w:rsidR="004E5D35" w:rsidRPr="006B2835">
        <w:rPr>
          <w:rFonts w:ascii="Calibri" w:hAnsi="Calibri"/>
          <w:color w:val="002060"/>
          <w:sz w:val="20"/>
          <w:szCs w:val="20"/>
        </w:rPr>
        <w:tab/>
      </w:r>
      <w:r w:rsidR="004E5D35" w:rsidRPr="006B2835">
        <w:rPr>
          <w:rFonts w:ascii="Calibri" w:hAnsi="Calibri"/>
          <w:color w:val="002060"/>
          <w:sz w:val="20"/>
          <w:szCs w:val="20"/>
        </w:rPr>
        <w:tab/>
      </w:r>
      <w:r w:rsidR="007C16F3" w:rsidRPr="006B2835">
        <w:rPr>
          <w:rFonts w:ascii="Calibri" w:hAnsi="Calibri"/>
          <w:color w:val="002060"/>
          <w:sz w:val="20"/>
          <w:szCs w:val="20"/>
        </w:rPr>
        <w:tab/>
      </w:r>
    </w:p>
    <w:p w:rsidR="007C16F3" w:rsidRPr="006B2835" w:rsidRDefault="006B2835" w:rsidP="006B2835">
      <w:pPr>
        <w:pStyle w:val="Corpsdetexte"/>
        <w:ind w:left="170" w:hanging="170"/>
        <w:rPr>
          <w:rFonts w:ascii="Calibri" w:hAnsi="Calibri"/>
          <w:color w:val="002060"/>
        </w:rPr>
      </w:pPr>
      <w:r w:rsidRPr="00355993">
        <w:rPr>
          <w:rFonts w:ascii="Calibri" w:hAnsi="Calibri"/>
          <w:noProof/>
          <w:color w:val="002060"/>
          <w:sz w:val="20"/>
          <w:szCs w:val="20"/>
        </w:rPr>
        <w:drawing>
          <wp:inline distT="0" distB="0" distL="0" distR="0" wp14:anchorId="0F5B7711" wp14:editId="42F37050">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C16F3" w:rsidRPr="006B2835">
        <w:rPr>
          <w:rFonts w:ascii="Calibri" w:hAnsi="Calibri"/>
          <w:color w:val="002060"/>
          <w:sz w:val="20"/>
          <w:szCs w:val="20"/>
        </w:rPr>
        <w:t>Enfin, s’il est impossible ou difficile de rapporter le coût du centre d’analyse à une unité d’œuvre physique, on retiendra une unité monétaire, c’est-à-dire que l’on déterminera une base conventionnelle exprimée en valeur (chiffre d’affaires, valeur des approvisionnements) permettant de répartir le coût du centre entre les différents produits concernés. Dans ce cas, l’imputation se réalise par le biais d’un pourcentage appelé taux de frais égal au coût du centre d’analyse / assiette de répartition exprimée en valeur</w:t>
      </w:r>
      <w:r w:rsidR="007C16F3" w:rsidRPr="006B2835">
        <w:rPr>
          <w:rFonts w:ascii="Calibri" w:hAnsi="Calibri"/>
          <w:color w:val="002060"/>
        </w:rPr>
        <w:t>.</w:t>
      </w:r>
    </w:p>
    <w:p w:rsidR="008A4F89" w:rsidRPr="004E5D35" w:rsidRDefault="007C16F3">
      <w:pPr>
        <w:pStyle w:val="Corpsdetexte"/>
        <w:rPr>
          <w:color w:val="7030A0"/>
        </w:rPr>
      </w:pPr>
      <w:r w:rsidRPr="004E5D35">
        <w:rPr>
          <w:color w:val="7030A0"/>
        </w:rPr>
        <w:tab/>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33" w:type="dxa"/>
          <w:bottom w:w="75" w:type="dxa"/>
          <w:right w:w="33" w:type="dxa"/>
        </w:tblCellMar>
        <w:tblLook w:val="04A0" w:firstRow="1" w:lastRow="0" w:firstColumn="1" w:lastColumn="0" w:noHBand="0" w:noVBand="1"/>
      </w:tblPr>
      <w:tblGrid>
        <w:gridCol w:w="724"/>
        <w:gridCol w:w="1283"/>
        <w:gridCol w:w="723"/>
        <w:gridCol w:w="1049"/>
        <w:gridCol w:w="1049"/>
        <w:gridCol w:w="1110"/>
        <w:gridCol w:w="1104"/>
        <w:gridCol w:w="1216"/>
        <w:gridCol w:w="705"/>
        <w:gridCol w:w="648"/>
        <w:gridCol w:w="577"/>
      </w:tblGrid>
      <w:tr w:rsidR="00573740" w:rsidRPr="00573740" w:rsidTr="00573740">
        <w:trPr>
          <w:trHeight w:val="508"/>
          <w:tblCellSpacing w:w="0" w:type="dxa"/>
        </w:trPr>
        <w:tc>
          <w:tcPr>
            <w:tcW w:w="4399" w:type="pct"/>
            <w:gridSpan w:val="9"/>
            <w:tcBorders>
              <w:top w:val="outset" w:sz="6" w:space="0" w:color="auto"/>
              <w:left w:val="outset" w:sz="6" w:space="0" w:color="auto"/>
              <w:bottom w:val="outset" w:sz="6" w:space="0" w:color="auto"/>
              <w:right w:val="outset" w:sz="6" w:space="0" w:color="auto"/>
            </w:tcBorders>
            <w:shd w:val="clear" w:color="auto" w:fill="808080" w:themeFill="background1" w:themeFillShade="80"/>
            <w:tcMar>
              <w:top w:w="0" w:type="dxa"/>
              <w:left w:w="17" w:type="dxa"/>
              <w:bottom w:w="0" w:type="dxa"/>
              <w:right w:w="17" w:type="dxa"/>
            </w:tcMar>
            <w:vAlign w:val="center"/>
            <w:hideMark/>
          </w:tcPr>
          <w:p w:rsidR="008A4F89" w:rsidRPr="00573740" w:rsidRDefault="008A4F89" w:rsidP="008A4F89">
            <w:pPr>
              <w:spacing w:before="120" w:after="120"/>
              <w:jc w:val="center"/>
              <w:rPr>
                <w:rFonts w:ascii="Calibri" w:hAnsi="Calibri"/>
                <w:color w:val="FFFFFF" w:themeColor="background1"/>
                <w:sz w:val="20"/>
                <w:szCs w:val="20"/>
              </w:rPr>
            </w:pPr>
            <w:r w:rsidRPr="006B2835">
              <w:rPr>
                <w:rFonts w:ascii="Calibri" w:hAnsi="Calibri" w:cs="Arial"/>
                <w:b/>
                <w:bCs/>
                <w:color w:val="FFFFFF" w:themeColor="background1"/>
                <w:sz w:val="20"/>
                <w:szCs w:val="20"/>
              </w:rPr>
              <w:t>Schéma des charges qui constituent le prix de revient</w:t>
            </w:r>
          </w:p>
        </w:tc>
        <w:tc>
          <w:tcPr>
            <w:tcW w:w="601" w:type="pct"/>
            <w:gridSpan w:val="2"/>
            <w:tcBorders>
              <w:top w:val="outset" w:sz="6" w:space="0" w:color="auto"/>
              <w:left w:val="outset" w:sz="6" w:space="0" w:color="auto"/>
              <w:bottom w:val="outset" w:sz="6" w:space="0" w:color="auto"/>
              <w:right w:val="outset" w:sz="6" w:space="0" w:color="auto"/>
            </w:tcBorders>
            <w:shd w:val="clear" w:color="auto" w:fill="1F4E79" w:themeFill="accent1" w:themeFillShade="80"/>
            <w:tcMar>
              <w:top w:w="0" w:type="dxa"/>
              <w:left w:w="17" w:type="dxa"/>
              <w:bottom w:w="0" w:type="dxa"/>
              <w:right w:w="17" w:type="dxa"/>
            </w:tcMar>
            <w:vAlign w:val="center"/>
            <w:hideMark/>
          </w:tcPr>
          <w:p w:rsidR="008A4F89" w:rsidRPr="00573740" w:rsidRDefault="008A4F89" w:rsidP="008A4F89">
            <w:pPr>
              <w:spacing w:before="120" w:after="120"/>
              <w:rPr>
                <w:rFonts w:ascii="Calibri" w:hAnsi="Calibri"/>
                <w:color w:val="FFFFFF" w:themeColor="background1"/>
                <w:sz w:val="20"/>
                <w:szCs w:val="20"/>
              </w:rPr>
            </w:pPr>
            <w:r w:rsidRPr="00573740">
              <w:rPr>
                <w:rFonts w:ascii="Calibri" w:hAnsi="Calibri"/>
                <w:color w:val="FFFFFF" w:themeColor="background1"/>
                <w:sz w:val="20"/>
                <w:szCs w:val="20"/>
              </w:rPr>
              <w:t> </w:t>
            </w:r>
          </w:p>
        </w:tc>
      </w:tr>
      <w:tr w:rsidR="00573740" w:rsidRPr="00573740" w:rsidTr="00573740">
        <w:trPr>
          <w:trHeight w:val="762"/>
          <w:tblCellSpacing w:w="0" w:type="dxa"/>
        </w:trPr>
        <w:tc>
          <w:tcPr>
            <w:tcW w:w="355"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Coût d'achat</w:t>
            </w:r>
          </w:p>
        </w:tc>
        <w:tc>
          <w:tcPr>
            <w:tcW w:w="629"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rPr>
                <w:rFonts w:ascii="Calibri" w:hAnsi="Calibri"/>
                <w:color w:val="002060"/>
                <w:sz w:val="20"/>
                <w:szCs w:val="20"/>
              </w:rPr>
            </w:pPr>
            <w:r w:rsidRPr="00573740">
              <w:rPr>
                <w:rFonts w:ascii="Calibri" w:hAnsi="Calibri"/>
                <w:color w:val="002060"/>
                <w:sz w:val="20"/>
                <w:szCs w:val="20"/>
              </w:rPr>
              <w:br/>
              <w:t> </w:t>
            </w:r>
          </w:p>
        </w:tc>
        <w:tc>
          <w:tcPr>
            <w:tcW w:w="355"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Coût total d'achat</w:t>
            </w:r>
          </w:p>
        </w:tc>
        <w:tc>
          <w:tcPr>
            <w:tcW w:w="515"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rPr>
                <w:rFonts w:ascii="Calibri" w:hAnsi="Calibri"/>
                <w:color w:val="002060"/>
                <w:sz w:val="20"/>
                <w:szCs w:val="20"/>
              </w:rPr>
            </w:pPr>
            <w:r w:rsidRPr="00573740">
              <w:rPr>
                <w:rFonts w:ascii="Calibri" w:hAnsi="Calibri"/>
                <w:color w:val="002060"/>
                <w:sz w:val="20"/>
                <w:szCs w:val="20"/>
              </w:rPr>
              <w:br/>
              <w:t> </w:t>
            </w:r>
          </w:p>
        </w:tc>
        <w:tc>
          <w:tcPr>
            <w:tcW w:w="515"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Coût total de la production</w:t>
            </w:r>
          </w:p>
        </w:tc>
        <w:tc>
          <w:tcPr>
            <w:tcW w:w="545"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rPr>
                <w:rFonts w:ascii="Calibri" w:hAnsi="Calibri"/>
                <w:color w:val="002060"/>
                <w:sz w:val="20"/>
                <w:szCs w:val="20"/>
              </w:rPr>
            </w:pPr>
            <w:r w:rsidRPr="00573740">
              <w:rPr>
                <w:rFonts w:ascii="Calibri" w:hAnsi="Calibri"/>
                <w:color w:val="002060"/>
                <w:sz w:val="20"/>
                <w:szCs w:val="20"/>
              </w:rPr>
              <w:br/>
              <w:t> </w:t>
            </w:r>
          </w:p>
        </w:tc>
        <w:tc>
          <w:tcPr>
            <w:tcW w:w="542"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Coût</w:t>
            </w:r>
            <w:r w:rsidRPr="00573740">
              <w:rPr>
                <w:rFonts w:ascii="Calibri" w:hAnsi="Calibri" w:cs="Arial"/>
                <w:b/>
                <w:bCs/>
                <w:color w:val="002060"/>
                <w:sz w:val="20"/>
                <w:szCs w:val="20"/>
              </w:rPr>
              <w:br/>
              <w:t>commercial</w:t>
            </w:r>
          </w:p>
        </w:tc>
        <w:tc>
          <w:tcPr>
            <w:tcW w:w="597"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rPr>
                <w:rFonts w:ascii="Calibri" w:hAnsi="Calibri"/>
                <w:color w:val="002060"/>
                <w:sz w:val="20"/>
                <w:szCs w:val="20"/>
              </w:rPr>
            </w:pPr>
            <w:r w:rsidRPr="00573740">
              <w:rPr>
                <w:rFonts w:ascii="Calibri" w:hAnsi="Calibri"/>
                <w:color w:val="002060"/>
                <w:sz w:val="20"/>
                <w:szCs w:val="20"/>
              </w:rPr>
              <w:br/>
              <w:t> </w:t>
            </w:r>
          </w:p>
        </w:tc>
        <w:tc>
          <w:tcPr>
            <w:tcW w:w="346"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Prix de revient</w:t>
            </w:r>
          </w:p>
        </w:tc>
        <w:tc>
          <w:tcPr>
            <w:tcW w:w="318"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rPr>
                <w:rFonts w:ascii="Calibri" w:hAnsi="Calibri"/>
                <w:color w:val="002060"/>
                <w:sz w:val="20"/>
                <w:szCs w:val="20"/>
              </w:rPr>
            </w:pPr>
            <w:r w:rsidRPr="00573740">
              <w:rPr>
                <w:rFonts w:ascii="Calibri" w:hAnsi="Calibri"/>
                <w:color w:val="002060"/>
                <w:sz w:val="20"/>
                <w:szCs w:val="20"/>
              </w:rPr>
              <w:br/>
              <w:t> </w:t>
            </w:r>
          </w:p>
        </w:tc>
        <w:tc>
          <w:tcPr>
            <w:tcW w:w="283" w:type="pct"/>
            <w:vMerge w:val="restart"/>
            <w:tcBorders>
              <w:top w:val="outset" w:sz="6" w:space="0" w:color="auto"/>
              <w:left w:val="outset" w:sz="6" w:space="0" w:color="auto"/>
              <w:bottom w:val="outset" w:sz="6" w:space="0" w:color="auto"/>
              <w:right w:val="outset" w:sz="6" w:space="0" w:color="auto"/>
            </w:tcBorders>
            <w:shd w:val="clear" w:color="auto" w:fill="E2EFD9" w:themeFill="accent6" w:themeFillTint="33"/>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Prix de vente</w:t>
            </w:r>
          </w:p>
        </w:tc>
      </w:tr>
      <w:tr w:rsidR="00573740" w:rsidRPr="00573740" w:rsidTr="00573740">
        <w:trPr>
          <w:trHeight w:val="1338"/>
          <w:tblCellSpacing w:w="0" w:type="dxa"/>
        </w:trPr>
        <w:tc>
          <w:tcPr>
            <w:tcW w:w="355" w:type="pct"/>
            <w:vMerge w:val="restart"/>
            <w:tcBorders>
              <w:top w:val="outset" w:sz="6" w:space="0" w:color="auto"/>
              <w:left w:val="outset" w:sz="6" w:space="0" w:color="auto"/>
              <w:bottom w:val="outset" w:sz="6" w:space="0" w:color="auto"/>
              <w:right w:val="outset" w:sz="6" w:space="0" w:color="auto"/>
            </w:tcBorders>
            <w:shd w:val="clear" w:color="auto" w:fill="FFE599" w:themeFill="accent4" w:themeFillTint="66"/>
            <w:tcMar>
              <w:top w:w="0" w:type="dxa"/>
              <w:left w:w="17" w:type="dxa"/>
              <w:bottom w:w="0" w:type="dxa"/>
              <w:right w:w="17" w:type="dxa"/>
            </w:tcMar>
            <w:vAlign w:val="center"/>
            <w:hideMark/>
          </w:tcPr>
          <w:p w:rsidR="008A4F89" w:rsidRPr="00573740" w:rsidRDefault="008A4F89" w:rsidP="008A4F89">
            <w:pPr>
              <w:jc w:val="center"/>
              <w:rPr>
                <w:rFonts w:ascii="Calibri" w:hAnsi="Calibri"/>
                <w:color w:val="002060"/>
                <w:sz w:val="20"/>
                <w:szCs w:val="20"/>
              </w:rPr>
            </w:pPr>
            <w:r w:rsidRPr="00573740">
              <w:rPr>
                <w:rFonts w:ascii="Calibri" w:hAnsi="Calibri"/>
                <w:color w:val="002060"/>
                <w:sz w:val="20"/>
                <w:szCs w:val="20"/>
              </w:rPr>
              <w:br/>
              <w:t> </w:t>
            </w:r>
          </w:p>
        </w:tc>
        <w:tc>
          <w:tcPr>
            <w:tcW w:w="629" w:type="pct"/>
            <w:tcBorders>
              <w:top w:val="outset" w:sz="6" w:space="0" w:color="auto"/>
              <w:left w:val="outset" w:sz="6" w:space="0" w:color="auto"/>
              <w:bottom w:val="outset" w:sz="6" w:space="0" w:color="auto"/>
              <w:right w:val="outset" w:sz="6" w:space="0" w:color="auto"/>
            </w:tcBorders>
            <w:shd w:val="clear" w:color="auto" w:fill="FFE599" w:themeFill="accent4" w:themeFillTint="66"/>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Coût d'appro-</w:t>
            </w:r>
            <w:r w:rsidRPr="00573740">
              <w:rPr>
                <w:rFonts w:ascii="Calibri" w:hAnsi="Calibri" w:cs="Arial"/>
                <w:b/>
                <w:bCs/>
                <w:color w:val="002060"/>
                <w:sz w:val="20"/>
                <w:szCs w:val="20"/>
              </w:rPr>
              <w:br/>
              <w:t>visionnement</w:t>
            </w: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color w:val="002060"/>
                <w:sz w:val="30"/>
                <w:szCs w:val="30"/>
              </w:rPr>
            </w:pPr>
          </w:p>
        </w:tc>
      </w:tr>
      <w:tr w:rsidR="00573740" w:rsidRPr="00573740" w:rsidTr="00573740">
        <w:trPr>
          <w:trHeight w:val="1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984" w:type="pct"/>
            <w:gridSpan w:val="2"/>
            <w:vMerge w:val="restart"/>
            <w:tcBorders>
              <w:top w:val="outset" w:sz="6" w:space="0" w:color="auto"/>
              <w:left w:val="outset" w:sz="6" w:space="0" w:color="auto"/>
              <w:bottom w:val="outset" w:sz="6" w:space="0" w:color="auto"/>
              <w:right w:val="outset" w:sz="6" w:space="0" w:color="auto"/>
            </w:tcBorders>
            <w:shd w:val="clear" w:color="auto" w:fill="FFE599" w:themeFill="accent4" w:themeFillTint="66"/>
            <w:tcMar>
              <w:top w:w="0" w:type="dxa"/>
              <w:left w:w="17" w:type="dxa"/>
              <w:bottom w:w="0" w:type="dxa"/>
              <w:right w:w="17" w:type="dxa"/>
            </w:tcMar>
            <w:vAlign w:val="center"/>
            <w:hideMark/>
          </w:tcPr>
          <w:p w:rsidR="008A4F89" w:rsidRPr="00573740" w:rsidRDefault="008A4F89" w:rsidP="008A4F89">
            <w:pPr>
              <w:jc w:val="center"/>
              <w:rPr>
                <w:rFonts w:ascii="Calibri" w:hAnsi="Calibri"/>
                <w:color w:val="002060"/>
                <w:sz w:val="20"/>
                <w:szCs w:val="20"/>
              </w:rPr>
            </w:pPr>
            <w:r w:rsidRPr="00573740">
              <w:rPr>
                <w:rFonts w:ascii="Calibri" w:hAnsi="Calibri"/>
                <w:color w:val="002060"/>
                <w:sz w:val="20"/>
                <w:szCs w:val="20"/>
              </w:rPr>
              <w:br/>
              <w:t> </w:t>
            </w:r>
          </w:p>
        </w:tc>
        <w:tc>
          <w:tcPr>
            <w:tcW w:w="515" w:type="pct"/>
            <w:tcBorders>
              <w:top w:val="outset" w:sz="6" w:space="0" w:color="auto"/>
              <w:left w:val="outset" w:sz="6" w:space="0" w:color="auto"/>
              <w:bottom w:val="outset" w:sz="6" w:space="0" w:color="auto"/>
              <w:right w:val="outset" w:sz="6" w:space="0" w:color="auto"/>
            </w:tcBorders>
            <w:shd w:val="clear" w:color="auto" w:fill="A8D08D" w:themeFill="accent6" w:themeFillTint="99"/>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Coût de la</w:t>
            </w:r>
            <w:r w:rsidRPr="00573740">
              <w:rPr>
                <w:rFonts w:ascii="Calibri" w:hAnsi="Calibri" w:cs="Arial"/>
                <w:b/>
                <w:bCs/>
                <w:color w:val="002060"/>
                <w:sz w:val="20"/>
                <w:szCs w:val="20"/>
              </w:rPr>
              <w:br/>
              <w:t>production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color w:val="002060"/>
                <w:sz w:val="30"/>
                <w:szCs w:val="30"/>
              </w:rPr>
            </w:pPr>
          </w:p>
        </w:tc>
      </w:tr>
      <w:tr w:rsidR="00573740" w:rsidRPr="00573740" w:rsidTr="00573740">
        <w:trPr>
          <w:trHeight w:val="1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573740" w:rsidRDefault="008A4F89" w:rsidP="008A4F89">
            <w:pPr>
              <w:rPr>
                <w:rFonts w:ascii="Calibri" w:hAnsi="Calibri"/>
                <w:color w:val="002060"/>
                <w:sz w:val="20"/>
                <w:szCs w:val="20"/>
              </w:rPr>
            </w:pPr>
          </w:p>
        </w:tc>
        <w:tc>
          <w:tcPr>
            <w:tcW w:w="1030" w:type="pct"/>
            <w:gridSpan w:val="2"/>
            <w:vMerge w:val="restart"/>
            <w:tcBorders>
              <w:top w:val="outset" w:sz="6" w:space="0" w:color="auto"/>
              <w:left w:val="outset" w:sz="6" w:space="0" w:color="auto"/>
              <w:bottom w:val="outset" w:sz="6" w:space="0" w:color="auto"/>
              <w:right w:val="outset" w:sz="6" w:space="0" w:color="auto"/>
            </w:tcBorders>
            <w:shd w:val="clear" w:color="auto" w:fill="FFE599" w:themeFill="accent4" w:themeFillTint="66"/>
            <w:tcMar>
              <w:top w:w="0" w:type="dxa"/>
              <w:left w:w="17" w:type="dxa"/>
              <w:bottom w:w="0" w:type="dxa"/>
              <w:right w:w="17" w:type="dxa"/>
            </w:tcMar>
            <w:vAlign w:val="center"/>
            <w:hideMark/>
          </w:tcPr>
          <w:p w:rsidR="008A4F89" w:rsidRPr="00573740" w:rsidRDefault="008A4F89" w:rsidP="008A4F89">
            <w:pPr>
              <w:jc w:val="center"/>
              <w:rPr>
                <w:rFonts w:ascii="Calibri" w:hAnsi="Calibri"/>
                <w:color w:val="002060"/>
                <w:sz w:val="20"/>
                <w:szCs w:val="20"/>
              </w:rPr>
            </w:pPr>
            <w:r w:rsidRPr="00573740">
              <w:rPr>
                <w:rFonts w:ascii="Calibri" w:hAnsi="Calibri"/>
                <w:color w:val="002060"/>
                <w:sz w:val="20"/>
                <w:szCs w:val="20"/>
              </w:rPr>
              <w:br/>
              <w:t> </w:t>
            </w:r>
          </w:p>
        </w:tc>
        <w:tc>
          <w:tcPr>
            <w:tcW w:w="545" w:type="pct"/>
            <w:tcBorders>
              <w:top w:val="outset" w:sz="6" w:space="0" w:color="auto"/>
              <w:left w:val="outset" w:sz="6" w:space="0" w:color="auto"/>
              <w:bottom w:val="outset" w:sz="6" w:space="0" w:color="auto"/>
              <w:right w:val="outset" w:sz="6" w:space="0" w:color="auto"/>
            </w:tcBorders>
            <w:shd w:val="clear" w:color="auto" w:fill="A8D08D" w:themeFill="accent6" w:themeFillTint="99"/>
            <w:tcMar>
              <w:top w:w="0" w:type="dxa"/>
              <w:left w:w="17" w:type="dxa"/>
              <w:bottom w:w="0" w:type="dxa"/>
              <w:right w:w="17" w:type="dxa"/>
            </w:tcMar>
            <w:vAlign w:val="center"/>
            <w:hideMark/>
          </w:tcPr>
          <w:p w:rsidR="008A4F89" w:rsidRPr="00573740" w:rsidRDefault="008A4F89" w:rsidP="008A4F89">
            <w:pPr>
              <w:spacing w:before="100" w:beforeAutospacing="1" w:after="100" w:afterAutospacing="1"/>
              <w:jc w:val="center"/>
              <w:rPr>
                <w:rFonts w:ascii="Calibri" w:hAnsi="Calibri"/>
                <w:color w:val="002060"/>
                <w:sz w:val="20"/>
                <w:szCs w:val="20"/>
              </w:rPr>
            </w:pPr>
            <w:r w:rsidRPr="00573740">
              <w:rPr>
                <w:rFonts w:ascii="Calibri" w:hAnsi="Calibri" w:cs="Arial"/>
                <w:b/>
                <w:bCs/>
                <w:color w:val="002060"/>
                <w:sz w:val="20"/>
                <w:szCs w:val="20"/>
              </w:rPr>
              <w:t>+</w:t>
            </w:r>
            <w:r w:rsidRPr="00573740">
              <w:rPr>
                <w:rFonts w:ascii="Calibri" w:hAnsi="Calibri" w:cs="Arial"/>
                <w:b/>
                <w:bCs/>
                <w:color w:val="002060"/>
                <w:sz w:val="20"/>
                <w:szCs w:val="20"/>
              </w:rPr>
              <w:br/>
              <w:t>Coût de</w:t>
            </w:r>
            <w:r w:rsidRPr="00573740">
              <w:rPr>
                <w:rFonts w:ascii="Calibri" w:hAnsi="Calibri" w:cs="Arial"/>
                <w:b/>
                <w:bCs/>
                <w:color w:val="002060"/>
                <w:sz w:val="20"/>
                <w:szCs w:val="20"/>
              </w:rPr>
              <w:br/>
              <w:t>la distribution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rFonts w:ascii="Calibri" w:hAnsi="Calibri"/>
                <w:color w:val="00206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573740" w:rsidRDefault="008A4F89" w:rsidP="008A4F89">
            <w:pPr>
              <w:rPr>
                <w:color w:val="002060"/>
                <w:sz w:val="30"/>
                <w:szCs w:val="30"/>
              </w:rPr>
            </w:pPr>
          </w:p>
        </w:tc>
      </w:tr>
      <w:tr w:rsidR="008A4F89" w:rsidRPr="008A4F89" w:rsidTr="00573740">
        <w:trPr>
          <w:trHeight w:val="1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F51AB2" w:rsidRDefault="008A4F89" w:rsidP="008A4F89">
            <w:pPr>
              <w:rPr>
                <w:rFonts w:ascii="Calibri" w:hAnsi="Calibri"/>
                <w:color w:val="7030A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F51AB2" w:rsidRDefault="008A4F89" w:rsidP="008A4F89">
            <w:pPr>
              <w:rPr>
                <w:rFonts w:ascii="Calibri" w:hAnsi="Calibri"/>
                <w:color w:val="7030A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F51AB2" w:rsidRDefault="008A4F89" w:rsidP="008A4F89">
            <w:pPr>
              <w:rPr>
                <w:rFonts w:ascii="Calibri" w:hAnsi="Calibri"/>
                <w:color w:val="7030A0"/>
                <w:sz w:val="20"/>
                <w:szCs w:val="20"/>
              </w:rPr>
            </w:pPr>
          </w:p>
        </w:tc>
        <w:tc>
          <w:tcPr>
            <w:tcW w:w="1087" w:type="pct"/>
            <w:gridSpan w:val="2"/>
            <w:vMerge w:val="restart"/>
            <w:tcBorders>
              <w:top w:val="outset" w:sz="6" w:space="0" w:color="auto"/>
              <w:left w:val="outset" w:sz="6" w:space="0" w:color="auto"/>
              <w:bottom w:val="outset" w:sz="6" w:space="0" w:color="auto"/>
              <w:right w:val="outset" w:sz="6" w:space="0" w:color="auto"/>
            </w:tcBorders>
            <w:shd w:val="clear" w:color="auto" w:fill="FFE599" w:themeFill="accent4" w:themeFillTint="66"/>
            <w:tcMar>
              <w:top w:w="0" w:type="dxa"/>
              <w:left w:w="17" w:type="dxa"/>
              <w:bottom w:w="0" w:type="dxa"/>
              <w:right w:w="17" w:type="dxa"/>
            </w:tcMar>
            <w:vAlign w:val="center"/>
            <w:hideMark/>
          </w:tcPr>
          <w:p w:rsidR="008A4F89" w:rsidRPr="00F51AB2" w:rsidRDefault="008A4F89" w:rsidP="008A4F89">
            <w:pPr>
              <w:jc w:val="center"/>
              <w:rPr>
                <w:rFonts w:ascii="Calibri" w:hAnsi="Calibri"/>
                <w:color w:val="7030A0"/>
                <w:sz w:val="20"/>
                <w:szCs w:val="20"/>
              </w:rPr>
            </w:pPr>
            <w:r w:rsidRPr="00F51AB2">
              <w:rPr>
                <w:rFonts w:ascii="Calibri" w:hAnsi="Calibri"/>
                <w:color w:val="7030A0"/>
                <w:sz w:val="20"/>
                <w:szCs w:val="20"/>
              </w:rPr>
              <w:br/>
              <w:t> </w:t>
            </w:r>
          </w:p>
        </w:tc>
        <w:tc>
          <w:tcPr>
            <w:tcW w:w="597" w:type="pct"/>
            <w:tcBorders>
              <w:top w:val="outset" w:sz="6" w:space="0" w:color="auto"/>
              <w:left w:val="outset" w:sz="6" w:space="0" w:color="auto"/>
              <w:bottom w:val="outset" w:sz="6" w:space="0" w:color="auto"/>
              <w:right w:val="outset" w:sz="6" w:space="0" w:color="auto"/>
            </w:tcBorders>
            <w:shd w:val="clear" w:color="auto" w:fill="A8D08D" w:themeFill="accent6" w:themeFillTint="99"/>
            <w:tcMar>
              <w:top w:w="0" w:type="dxa"/>
              <w:left w:w="17" w:type="dxa"/>
              <w:bottom w:w="0" w:type="dxa"/>
              <w:right w:w="17" w:type="dxa"/>
            </w:tcMar>
            <w:vAlign w:val="center"/>
            <w:hideMark/>
          </w:tcPr>
          <w:p w:rsidR="008A4F89" w:rsidRPr="00F51AB2" w:rsidRDefault="008A4F89" w:rsidP="008A4F89">
            <w:pPr>
              <w:spacing w:before="100" w:beforeAutospacing="1" w:after="100" w:afterAutospacing="1"/>
              <w:jc w:val="center"/>
              <w:rPr>
                <w:rFonts w:ascii="Calibri" w:hAnsi="Calibri"/>
                <w:color w:val="7030A0"/>
                <w:sz w:val="20"/>
                <w:szCs w:val="20"/>
              </w:rPr>
            </w:pPr>
            <w:r w:rsidRPr="00F51AB2">
              <w:rPr>
                <w:rFonts w:ascii="Calibri" w:hAnsi="Calibri" w:cs="Arial"/>
                <w:b/>
                <w:bCs/>
                <w:color w:val="7030A0"/>
                <w:sz w:val="20"/>
                <w:szCs w:val="20"/>
              </w:rPr>
              <w:t>+</w:t>
            </w:r>
            <w:r w:rsidRPr="00F51AB2">
              <w:rPr>
                <w:rFonts w:ascii="Calibri" w:hAnsi="Calibri" w:cs="Arial"/>
                <w:b/>
                <w:bCs/>
                <w:color w:val="7030A0"/>
                <w:sz w:val="20"/>
                <w:szCs w:val="20"/>
              </w:rPr>
              <w:br/>
              <w:t>Coût</w:t>
            </w:r>
            <w:r w:rsidRPr="00F51AB2">
              <w:rPr>
                <w:rFonts w:ascii="Calibri" w:hAnsi="Calibri" w:cs="Arial"/>
                <w:b/>
                <w:bCs/>
                <w:color w:val="7030A0"/>
                <w:sz w:val="20"/>
                <w:szCs w:val="20"/>
              </w:rPr>
              <w:br/>
              <w:t>administratif</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F51AB2" w:rsidRDefault="008A4F89" w:rsidP="008A4F89">
            <w:pPr>
              <w:rPr>
                <w:rFonts w:ascii="Calibri" w:hAnsi="Calibri"/>
                <w:color w:val="7030A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F51AB2" w:rsidRDefault="008A4F89" w:rsidP="008A4F89">
            <w:pPr>
              <w:rPr>
                <w:rFonts w:ascii="Calibri" w:hAnsi="Calibri"/>
                <w:color w:val="7030A0"/>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F51AB2" w:rsidRDefault="008A4F89" w:rsidP="008A4F89">
            <w:pPr>
              <w:rPr>
                <w:color w:val="7030A0"/>
                <w:sz w:val="30"/>
                <w:szCs w:val="30"/>
              </w:rPr>
            </w:pPr>
          </w:p>
        </w:tc>
      </w:tr>
      <w:tr w:rsidR="008A4F89" w:rsidRPr="008A4F89" w:rsidTr="00573740">
        <w:trPr>
          <w:trHeight w:val="14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F51AB2" w:rsidRDefault="008A4F89" w:rsidP="008A4F89">
            <w:pPr>
              <w:rPr>
                <w:rFonts w:ascii="Calibri" w:hAnsi="Calibri"/>
                <w:color w:val="7030A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F51AB2" w:rsidRDefault="008A4F89" w:rsidP="008A4F89">
            <w:pPr>
              <w:rPr>
                <w:rFonts w:ascii="Calibri" w:hAnsi="Calibri"/>
                <w:color w:val="7030A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F51AB2" w:rsidRDefault="008A4F89" w:rsidP="008A4F89">
            <w:pPr>
              <w:rPr>
                <w:rFonts w:ascii="Calibri" w:hAnsi="Calibri"/>
                <w:color w:val="7030A0"/>
                <w:sz w:val="20"/>
                <w:szCs w:val="20"/>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E599" w:themeFill="accent4" w:themeFillTint="66"/>
            <w:vAlign w:val="center"/>
            <w:hideMark/>
          </w:tcPr>
          <w:p w:rsidR="008A4F89" w:rsidRPr="00F51AB2" w:rsidRDefault="008A4F89" w:rsidP="008A4F89">
            <w:pPr>
              <w:rPr>
                <w:rFonts w:ascii="Calibri" w:hAnsi="Calibri"/>
                <w:color w:val="7030A0"/>
                <w:sz w:val="20"/>
                <w:szCs w:val="20"/>
              </w:rPr>
            </w:pPr>
          </w:p>
        </w:tc>
        <w:tc>
          <w:tcPr>
            <w:tcW w:w="943" w:type="pct"/>
            <w:gridSpan w:val="2"/>
            <w:tcBorders>
              <w:top w:val="outset" w:sz="6" w:space="0" w:color="auto"/>
              <w:left w:val="outset" w:sz="6" w:space="0" w:color="auto"/>
              <w:bottom w:val="outset" w:sz="6" w:space="0" w:color="auto"/>
              <w:right w:val="outset" w:sz="6" w:space="0" w:color="auto"/>
            </w:tcBorders>
            <w:shd w:val="clear" w:color="auto" w:fill="FFE599" w:themeFill="accent4" w:themeFillTint="66"/>
            <w:tcMar>
              <w:top w:w="0" w:type="dxa"/>
              <w:left w:w="17" w:type="dxa"/>
              <w:bottom w:w="0" w:type="dxa"/>
              <w:right w:w="17" w:type="dxa"/>
            </w:tcMar>
            <w:vAlign w:val="center"/>
            <w:hideMark/>
          </w:tcPr>
          <w:p w:rsidR="008A4F89" w:rsidRPr="00F51AB2" w:rsidRDefault="008A4F89" w:rsidP="008A4F89">
            <w:pPr>
              <w:jc w:val="center"/>
              <w:rPr>
                <w:rFonts w:ascii="Calibri" w:hAnsi="Calibri"/>
                <w:color w:val="7030A0"/>
                <w:sz w:val="20"/>
                <w:szCs w:val="20"/>
              </w:rPr>
            </w:pPr>
            <w:r w:rsidRPr="00F51AB2">
              <w:rPr>
                <w:rFonts w:ascii="Calibri" w:hAnsi="Calibri"/>
                <w:color w:val="7030A0"/>
                <w:sz w:val="20"/>
                <w:szCs w:val="20"/>
              </w:rPr>
              <w:br/>
              <w:t> </w:t>
            </w:r>
          </w:p>
        </w:tc>
        <w:tc>
          <w:tcPr>
            <w:tcW w:w="318" w:type="pct"/>
            <w:tcBorders>
              <w:top w:val="outset" w:sz="6" w:space="0" w:color="auto"/>
              <w:left w:val="outset" w:sz="6" w:space="0" w:color="auto"/>
              <w:bottom w:val="outset" w:sz="6" w:space="0" w:color="auto"/>
              <w:right w:val="outset" w:sz="6" w:space="0" w:color="auto"/>
            </w:tcBorders>
            <w:shd w:val="clear" w:color="auto" w:fill="A8D08D" w:themeFill="accent6" w:themeFillTint="99"/>
            <w:tcMar>
              <w:top w:w="0" w:type="dxa"/>
              <w:left w:w="17" w:type="dxa"/>
              <w:bottom w:w="0" w:type="dxa"/>
              <w:right w:w="17" w:type="dxa"/>
            </w:tcMar>
            <w:vAlign w:val="center"/>
            <w:hideMark/>
          </w:tcPr>
          <w:p w:rsidR="008A4F89" w:rsidRPr="00F51AB2" w:rsidRDefault="008A4F89" w:rsidP="008A4F89">
            <w:pPr>
              <w:spacing w:before="100" w:beforeAutospacing="1" w:after="100" w:afterAutospacing="1"/>
              <w:jc w:val="center"/>
              <w:rPr>
                <w:rFonts w:ascii="Calibri" w:hAnsi="Calibri"/>
                <w:color w:val="7030A0"/>
                <w:sz w:val="20"/>
                <w:szCs w:val="20"/>
              </w:rPr>
            </w:pPr>
            <w:r w:rsidRPr="00F51AB2">
              <w:rPr>
                <w:rFonts w:ascii="Calibri" w:hAnsi="Calibri" w:cs="Arial"/>
                <w:b/>
                <w:bCs/>
                <w:color w:val="7030A0"/>
                <w:sz w:val="20"/>
                <w:szCs w:val="20"/>
              </w:rPr>
              <w:t>+</w:t>
            </w:r>
            <w:r w:rsidRPr="00F51AB2">
              <w:rPr>
                <w:rFonts w:ascii="Calibri" w:hAnsi="Calibri" w:cs="Arial"/>
                <w:b/>
                <w:bCs/>
                <w:color w:val="7030A0"/>
                <w:sz w:val="20"/>
                <w:szCs w:val="20"/>
              </w:rPr>
              <w:br/>
              <w:t>Marge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4F89" w:rsidRPr="00F51AB2" w:rsidRDefault="008A4F89" w:rsidP="008A4F89">
            <w:pPr>
              <w:rPr>
                <w:color w:val="7030A0"/>
                <w:sz w:val="30"/>
                <w:szCs w:val="30"/>
              </w:rPr>
            </w:pPr>
          </w:p>
        </w:tc>
      </w:tr>
    </w:tbl>
    <w:p w:rsidR="007C16F3" w:rsidRPr="008A4F89" w:rsidRDefault="007C16F3">
      <w:pPr>
        <w:pStyle w:val="Corpsdetexte"/>
        <w:rPr>
          <w:color w:val="7030A0"/>
        </w:rPr>
      </w:pPr>
      <w:r w:rsidRPr="008A4F89">
        <w:rPr>
          <w:color w:val="7030A0"/>
        </w:rPr>
        <w:tab/>
      </w:r>
    </w:p>
    <w:p w:rsidR="007C16F3" w:rsidRPr="004E5D35" w:rsidRDefault="007C16F3">
      <w:pPr>
        <w:pStyle w:val="Corpsdetexte"/>
        <w:tabs>
          <w:tab w:val="right" w:pos="180"/>
        </w:tabs>
        <w:rPr>
          <w:color w:val="7030A0"/>
        </w:rPr>
      </w:pPr>
    </w:p>
    <w:p w:rsidR="00E05051" w:rsidRPr="004E5D35" w:rsidRDefault="004E5D35" w:rsidP="004E5D35">
      <w:pPr>
        <w:pStyle w:val="Corpsdetexte"/>
        <w:tabs>
          <w:tab w:val="right" w:pos="180"/>
        </w:tabs>
        <w:rPr>
          <w:color w:val="7030A0"/>
        </w:rPr>
      </w:pPr>
      <w:r>
        <w:rPr>
          <w:color w:val="7030A0"/>
        </w:rPr>
        <w:tab/>
      </w:r>
    </w:p>
    <w:sectPr w:rsidR="00E05051" w:rsidRPr="004E5D35" w:rsidSect="004E5D35">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i1026" type="#_x0000_t75" alt="triangle" style="width:9pt;height:7.5pt;visibility:visible;mso-wrap-style:square" o:bullet="t">
        <v:imagedata r:id="rId1" o:title="triangle"/>
      </v:shape>
    </w:pict>
  </w:numPicBullet>
  <w:abstractNum w:abstractNumId="0" w15:restartNumberingAfterBreak="0">
    <w:nsid w:val="045426E7"/>
    <w:multiLevelType w:val="hybridMultilevel"/>
    <w:tmpl w:val="CF48B250"/>
    <w:lvl w:ilvl="0" w:tplc="044E866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97551"/>
    <w:multiLevelType w:val="hybridMultilevel"/>
    <w:tmpl w:val="3696938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A0C5B"/>
    <w:multiLevelType w:val="hybridMultilevel"/>
    <w:tmpl w:val="C5C6E592"/>
    <w:lvl w:ilvl="0" w:tplc="E3D633F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27011"/>
    <w:multiLevelType w:val="hybridMultilevel"/>
    <w:tmpl w:val="74DA4182"/>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D35AE"/>
    <w:multiLevelType w:val="hybridMultilevel"/>
    <w:tmpl w:val="73561EFC"/>
    <w:lvl w:ilvl="0" w:tplc="B3C04F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35"/>
    <w:rsid w:val="00053B91"/>
    <w:rsid w:val="00072095"/>
    <w:rsid w:val="001704C2"/>
    <w:rsid w:val="002D2FB9"/>
    <w:rsid w:val="004E5D35"/>
    <w:rsid w:val="00573740"/>
    <w:rsid w:val="005A76FB"/>
    <w:rsid w:val="006B2835"/>
    <w:rsid w:val="006E57B8"/>
    <w:rsid w:val="007C16F3"/>
    <w:rsid w:val="00816984"/>
    <w:rsid w:val="00867B71"/>
    <w:rsid w:val="008A4F89"/>
    <w:rsid w:val="00917601"/>
    <w:rsid w:val="00AD551B"/>
    <w:rsid w:val="00E05051"/>
    <w:rsid w:val="00E433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DBEE3C5"/>
  <w15:chartTrackingRefBased/>
  <w15:docId w15:val="{30E7C76F-B8DF-410B-9A74-F12970CE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ind w:left="360"/>
      <w:jc w:val="both"/>
    </w:pPr>
  </w:style>
  <w:style w:type="paragraph" w:styleId="Corpsdetexte">
    <w:name w:val="Body Text"/>
    <w:basedOn w:val="Normal"/>
    <w:semiHidden/>
    <w:pPr>
      <w:jc w:val="both"/>
    </w:pPr>
  </w:style>
  <w:style w:type="paragraph" w:styleId="Titre">
    <w:name w:val="Title"/>
    <w:basedOn w:val="Normal"/>
    <w:qFormat/>
    <w:pPr>
      <w:pBdr>
        <w:top w:val="single" w:sz="4" w:space="1" w:color="auto" w:shadow="1"/>
        <w:left w:val="single" w:sz="4" w:space="4" w:color="auto" w:shadow="1"/>
        <w:bottom w:val="single" w:sz="4" w:space="1" w:color="auto" w:shadow="1"/>
        <w:right w:val="single" w:sz="4" w:space="4" w:color="auto" w:shadow="1"/>
      </w:pBdr>
      <w:shd w:val="clear" w:color="auto" w:fill="C0C0C0"/>
      <w:ind w:firstLine="539"/>
      <w:jc w:val="center"/>
    </w:pPr>
    <w:rPr>
      <w:spacing w:val="24"/>
      <w:sz w:val="28"/>
    </w:rPr>
  </w:style>
  <w:style w:type="paragraph" w:styleId="Textedebulles">
    <w:name w:val="Balloon Text"/>
    <w:basedOn w:val="Normal"/>
    <w:link w:val="TextedebullesCar"/>
    <w:uiPriority w:val="99"/>
    <w:semiHidden/>
    <w:unhideWhenUsed/>
    <w:rsid w:val="004E5D35"/>
    <w:rPr>
      <w:rFonts w:ascii="Tahoma" w:hAnsi="Tahoma" w:cs="Tahoma"/>
      <w:sz w:val="16"/>
      <w:szCs w:val="16"/>
    </w:rPr>
  </w:style>
  <w:style w:type="character" w:customStyle="1" w:styleId="TextedebullesCar">
    <w:name w:val="Texte de bulles Car"/>
    <w:basedOn w:val="Policepardfaut"/>
    <w:link w:val="Textedebulles"/>
    <w:uiPriority w:val="99"/>
    <w:semiHidden/>
    <w:rsid w:val="004E5D35"/>
    <w:rPr>
      <w:rFonts w:ascii="Tahoma" w:hAnsi="Tahoma" w:cs="Tahoma"/>
      <w:sz w:val="16"/>
      <w:szCs w:val="16"/>
    </w:rPr>
  </w:style>
  <w:style w:type="table" w:styleId="Grilledutableau">
    <w:name w:val="Table Grid"/>
    <w:basedOn w:val="TableauNormal"/>
    <w:uiPriority w:val="59"/>
    <w:rsid w:val="006B2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853</Words>
  <Characters>4383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LES COUTS ET PRIX DE REVIENT</vt:lpstr>
    </vt:vector>
  </TitlesOfParts>
  <Company>Packard Bell NEC</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COUTS ET PRIX DE REVIENT</dc:title>
  <dc:subject/>
  <dc:creator>Joseph BERGARA</dc:creator>
  <cp:keywords/>
  <dc:description/>
  <cp:lastModifiedBy>Utilisateur Windows</cp:lastModifiedBy>
  <cp:revision>9</cp:revision>
  <cp:lastPrinted>2011-06-21T17:26:00Z</cp:lastPrinted>
  <dcterms:created xsi:type="dcterms:W3CDTF">2016-09-04T13:33:00Z</dcterms:created>
  <dcterms:modified xsi:type="dcterms:W3CDTF">2019-09-04T14:04:00Z</dcterms:modified>
</cp:coreProperties>
</file>