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36" w:rsidRPr="00252883" w:rsidRDefault="009A7E05" w:rsidP="00C355E3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808080"/>
        <w:jc w:val="center"/>
        <w:rPr>
          <w:rFonts w:ascii="Calibri" w:hAnsi="Calibri" w:cs="Arial"/>
          <w:b/>
          <w:color w:val="FFFFFF"/>
          <w:sz w:val="26"/>
          <w:szCs w:val="26"/>
        </w:rPr>
      </w:pPr>
      <w:r w:rsidRPr="00252883">
        <w:rPr>
          <w:rFonts w:ascii="Calibri" w:hAnsi="Calibri" w:cs="Arial"/>
          <w:b/>
          <w:color w:val="FFFFFF"/>
          <w:sz w:val="26"/>
          <w:szCs w:val="26"/>
        </w:rPr>
        <w:t>La gestion budgétaire</w:t>
      </w:r>
    </w:p>
    <w:p w:rsidR="005F1EEA" w:rsidRPr="00252883" w:rsidRDefault="005F1EEA">
      <w:pPr>
        <w:rPr>
          <w:rFonts w:ascii="Calibri" w:hAnsi="Calibri" w:cs="Arial"/>
          <w:color w:val="002060"/>
        </w:rPr>
      </w:pPr>
    </w:p>
    <w:p w:rsidR="009A7E05" w:rsidRPr="00903DAA" w:rsidRDefault="005F1EEA" w:rsidP="00E11936">
      <w:pPr>
        <w:spacing w:after="120"/>
        <w:rPr>
          <w:rFonts w:ascii="Calibri" w:hAnsi="Calibri" w:cs="Arial"/>
          <w:b/>
          <w:color w:val="002060"/>
          <w:sz w:val="21"/>
          <w:szCs w:val="21"/>
        </w:rPr>
      </w:pPr>
      <w:r w:rsidRPr="00903DAA">
        <w:rPr>
          <w:rFonts w:ascii="Calibri" w:hAnsi="Calibri"/>
          <w:b/>
          <w:color w:val="002060"/>
          <w:sz w:val="21"/>
          <w:szCs w:val="21"/>
        </w:rPr>
        <w:t>I</w:t>
      </w:r>
      <w:r w:rsidR="00E11936" w:rsidRPr="00903DAA">
        <w:rPr>
          <w:rFonts w:ascii="Calibri" w:hAnsi="Calibri"/>
          <w:b/>
          <w:color w:val="002060"/>
          <w:sz w:val="21"/>
          <w:szCs w:val="21"/>
        </w:rPr>
        <w:t xml:space="preserve"> </w:t>
      </w:r>
      <w:r w:rsidRPr="00903DAA">
        <w:rPr>
          <w:rFonts w:ascii="Calibri" w:hAnsi="Calibri"/>
          <w:b/>
          <w:color w:val="002060"/>
          <w:sz w:val="21"/>
          <w:szCs w:val="21"/>
        </w:rPr>
        <w:t xml:space="preserve">- </w:t>
      </w:r>
      <w:r w:rsidR="00E11936" w:rsidRPr="00903DAA">
        <w:rPr>
          <w:rFonts w:ascii="Calibri" w:hAnsi="Calibri" w:cs="Arial"/>
          <w:b/>
          <w:color w:val="002060"/>
          <w:sz w:val="21"/>
          <w:szCs w:val="21"/>
        </w:rPr>
        <w:t>Principe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944"/>
      </w:tblGrid>
      <w:tr w:rsidR="009A7E05" w:rsidRPr="00252883" w:rsidTr="00252883">
        <w:tc>
          <w:tcPr>
            <w:tcW w:w="10035" w:type="dxa"/>
            <w:shd w:val="clear" w:color="auto" w:fill="FFFFCC"/>
          </w:tcPr>
          <w:p w:rsidR="003A74ED" w:rsidRPr="00252883" w:rsidRDefault="009A7E05" w:rsidP="00847C62">
            <w:pPr>
              <w:spacing w:before="120" w:after="120"/>
              <w:ind w:left="170"/>
              <w:rPr>
                <w:rFonts w:ascii="Calibri" w:hAnsi="Calibri" w:cs="Arial"/>
                <w:color w:val="002060"/>
              </w:rPr>
            </w:pPr>
            <w:r w:rsidRPr="00847C62">
              <w:rPr>
                <w:rFonts w:ascii="Calibri" w:hAnsi="Calibri" w:cs="Arial"/>
                <w:color w:val="002060"/>
                <w:sz w:val="21"/>
                <w:szCs w:val="21"/>
              </w:rPr>
              <w:t>Un budget est un programme d’actions à court terme, détaillé, coordonné et valorisé, permettant d’atteindre, grâce à des moyens prévus, les objectifs de l’entreprise</w:t>
            </w:r>
            <w:r w:rsidRPr="00252883">
              <w:rPr>
                <w:rFonts w:ascii="Calibri" w:hAnsi="Calibri" w:cs="Arial"/>
                <w:color w:val="002060"/>
              </w:rPr>
              <w:t>.</w:t>
            </w:r>
          </w:p>
        </w:tc>
      </w:tr>
    </w:tbl>
    <w:p w:rsidR="00B35DBE" w:rsidRPr="00E46010" w:rsidRDefault="00B35DBE" w:rsidP="00E11936">
      <w:pPr>
        <w:spacing w:before="120" w:after="60"/>
        <w:jc w:val="both"/>
        <w:rPr>
          <w:rFonts w:ascii="Calibri" w:hAnsi="Calibri" w:cs="Arial"/>
          <w:b/>
          <w:color w:val="002060"/>
          <w:sz w:val="20"/>
        </w:rPr>
      </w:pPr>
      <w:r w:rsidRPr="00E46010">
        <w:rPr>
          <w:rFonts w:ascii="Calibri" w:hAnsi="Calibri" w:cs="Arial"/>
          <w:b/>
          <w:color w:val="002060"/>
          <w:sz w:val="20"/>
        </w:rPr>
        <w:t>Les étapes de la gestion budgétaire</w:t>
      </w:r>
    </w:p>
    <w:p w:rsidR="00B35DBE" w:rsidRPr="00EC1647" w:rsidRDefault="00B35DBE" w:rsidP="009A7E05">
      <w:pPr>
        <w:spacing w:after="60"/>
        <w:jc w:val="both"/>
        <w:rPr>
          <w:rFonts w:ascii="Calibri" w:hAnsi="Calibri" w:cs="Arial"/>
          <w:color w:val="002060"/>
          <w:sz w:val="20"/>
          <w:szCs w:val="20"/>
        </w:rPr>
      </w:pPr>
      <w:r w:rsidRPr="00EC1647">
        <w:rPr>
          <w:rFonts w:ascii="Calibri" w:hAnsi="Calibri" w:cs="Arial"/>
          <w:color w:val="002060"/>
          <w:sz w:val="20"/>
          <w:szCs w:val="20"/>
        </w:rPr>
        <w:t>La gestion budgétaire passe par 3 étapes qui sont :</w:t>
      </w:r>
    </w:p>
    <w:p w:rsidR="005F1EEA" w:rsidRPr="00EC1647" w:rsidRDefault="00BB1C2E" w:rsidP="009A7E05">
      <w:pPr>
        <w:tabs>
          <w:tab w:val="left" w:pos="720"/>
        </w:tabs>
        <w:spacing w:after="60"/>
        <w:jc w:val="both"/>
        <w:rPr>
          <w:rFonts w:ascii="Calibri" w:hAnsi="Calibri" w:cs="Arial"/>
          <w:color w:val="002060"/>
          <w:sz w:val="20"/>
          <w:szCs w:val="20"/>
        </w:rPr>
      </w:pPr>
      <w:r w:rsidRPr="00EC1647">
        <w:rPr>
          <w:rFonts w:ascii="Calibri" w:hAnsi="Calibri" w:cs="Arial"/>
          <w:color w:val="002060"/>
          <w:sz w:val="20"/>
          <w:szCs w:val="20"/>
        </w:rPr>
        <w:tab/>
      </w:r>
      <w:r w:rsidR="004F3263" w:rsidRPr="00EC1647">
        <w:rPr>
          <w:rFonts w:ascii="Calibri" w:hAnsi="Calibri" w:cs="Arial"/>
          <w:color w:val="002060"/>
          <w:sz w:val="20"/>
          <w:szCs w:val="20"/>
        </w:rPr>
        <w:sym w:font="Wingdings" w:char="F081"/>
      </w:r>
      <w:r w:rsidR="004F3263" w:rsidRPr="00EC1647">
        <w:rPr>
          <w:rFonts w:ascii="Calibri" w:hAnsi="Calibri" w:cs="Arial"/>
          <w:color w:val="002060"/>
          <w:sz w:val="20"/>
          <w:szCs w:val="20"/>
        </w:rPr>
        <w:t xml:space="preserve"> </w:t>
      </w:r>
      <w:r w:rsidRPr="00EC1647">
        <w:rPr>
          <w:rFonts w:ascii="Calibri" w:hAnsi="Calibri" w:cs="Arial"/>
          <w:color w:val="002060"/>
          <w:sz w:val="20"/>
          <w:szCs w:val="20"/>
        </w:rPr>
        <w:t>La prévision</w:t>
      </w:r>
    </w:p>
    <w:p w:rsidR="00BB1C2E" w:rsidRPr="00EC1647" w:rsidRDefault="00BB1C2E" w:rsidP="009A7E05">
      <w:pPr>
        <w:tabs>
          <w:tab w:val="left" w:pos="720"/>
        </w:tabs>
        <w:spacing w:after="60"/>
        <w:jc w:val="both"/>
        <w:rPr>
          <w:rFonts w:ascii="Calibri" w:hAnsi="Calibri" w:cs="Arial"/>
          <w:color w:val="002060"/>
          <w:sz w:val="20"/>
          <w:szCs w:val="20"/>
        </w:rPr>
      </w:pPr>
      <w:r w:rsidRPr="00EC1647">
        <w:rPr>
          <w:rFonts w:ascii="Calibri" w:hAnsi="Calibri" w:cs="Arial"/>
          <w:color w:val="002060"/>
          <w:sz w:val="20"/>
          <w:szCs w:val="20"/>
        </w:rPr>
        <w:tab/>
      </w:r>
      <w:r w:rsidR="00031FB2" w:rsidRPr="00EC1647">
        <w:rPr>
          <w:rFonts w:ascii="Calibri" w:hAnsi="Calibri" w:cs="Arial"/>
          <w:color w:val="002060"/>
          <w:sz w:val="20"/>
          <w:szCs w:val="20"/>
        </w:rPr>
        <w:sym w:font="Wingdings" w:char="F082"/>
      </w:r>
      <w:r w:rsidRPr="00EC1647">
        <w:rPr>
          <w:rFonts w:ascii="Calibri" w:hAnsi="Calibri" w:cs="Arial"/>
          <w:color w:val="002060"/>
          <w:sz w:val="20"/>
          <w:szCs w:val="20"/>
        </w:rPr>
        <w:t xml:space="preserve"> La budgétisation</w:t>
      </w:r>
    </w:p>
    <w:p w:rsidR="00BB1C2E" w:rsidRPr="00EC1647" w:rsidRDefault="00BB1C2E" w:rsidP="00935F7B">
      <w:pPr>
        <w:tabs>
          <w:tab w:val="left" w:pos="720"/>
        </w:tabs>
        <w:spacing w:after="120"/>
        <w:jc w:val="both"/>
        <w:rPr>
          <w:rFonts w:ascii="Calibri" w:hAnsi="Calibri" w:cs="Arial"/>
          <w:color w:val="002060"/>
          <w:sz w:val="20"/>
          <w:szCs w:val="20"/>
        </w:rPr>
      </w:pPr>
      <w:r w:rsidRPr="00EC1647">
        <w:rPr>
          <w:rFonts w:ascii="Calibri" w:hAnsi="Calibri" w:cs="Arial"/>
          <w:color w:val="002060"/>
          <w:sz w:val="20"/>
          <w:szCs w:val="20"/>
        </w:rPr>
        <w:tab/>
      </w:r>
      <w:r w:rsidR="00031FB2" w:rsidRPr="00EC1647">
        <w:rPr>
          <w:rFonts w:ascii="Calibri" w:hAnsi="Calibri" w:cs="Arial"/>
          <w:color w:val="002060"/>
          <w:sz w:val="20"/>
          <w:szCs w:val="20"/>
        </w:rPr>
        <w:sym w:font="Wingdings" w:char="F083"/>
      </w:r>
      <w:r w:rsidRPr="00EC1647">
        <w:rPr>
          <w:rFonts w:ascii="Calibri" w:hAnsi="Calibri" w:cs="Arial"/>
          <w:color w:val="002060"/>
          <w:sz w:val="20"/>
          <w:szCs w:val="20"/>
        </w:rPr>
        <w:t xml:space="preserve"> Le contrôle</w:t>
      </w:r>
    </w:p>
    <w:p w:rsidR="00BB1C2E" w:rsidRPr="00EC1647" w:rsidRDefault="004F3263" w:rsidP="009A7E05">
      <w:pPr>
        <w:ind w:left="340" w:hanging="340"/>
        <w:jc w:val="both"/>
        <w:rPr>
          <w:rFonts w:ascii="Calibri" w:hAnsi="Calibri" w:cs="Arial"/>
          <w:color w:val="002060"/>
          <w:sz w:val="20"/>
          <w:szCs w:val="20"/>
        </w:rPr>
      </w:pPr>
      <w:r w:rsidRPr="00EC1647">
        <w:rPr>
          <w:rFonts w:ascii="Calibri" w:hAnsi="Calibri" w:cs="Arial"/>
          <w:color w:val="002060"/>
          <w:sz w:val="20"/>
          <w:szCs w:val="20"/>
        </w:rPr>
        <w:sym w:font="Wingdings" w:char="F081"/>
      </w:r>
      <w:r w:rsidR="00031FB2" w:rsidRPr="00EC1647">
        <w:rPr>
          <w:rFonts w:ascii="Calibri" w:hAnsi="Calibri" w:cs="Arial"/>
          <w:color w:val="002060"/>
          <w:sz w:val="20"/>
          <w:szCs w:val="20"/>
        </w:rPr>
        <w:t xml:space="preserve"> </w:t>
      </w:r>
      <w:r w:rsidR="00BB1C2E" w:rsidRPr="00EC1647">
        <w:rPr>
          <w:rFonts w:ascii="Calibri" w:hAnsi="Calibri" w:cs="Arial"/>
          <w:color w:val="002060"/>
          <w:sz w:val="20"/>
          <w:szCs w:val="20"/>
        </w:rPr>
        <w:t xml:space="preserve">La </w:t>
      </w:r>
      <w:r w:rsidR="00BB1C2E" w:rsidRPr="00EC1647">
        <w:rPr>
          <w:rFonts w:ascii="Calibri" w:hAnsi="Calibri" w:cs="Arial"/>
          <w:b/>
          <w:color w:val="002060"/>
          <w:sz w:val="20"/>
          <w:szCs w:val="20"/>
        </w:rPr>
        <w:t>prévision</w:t>
      </w:r>
      <w:r w:rsidR="00BB1C2E" w:rsidRPr="00EC1647">
        <w:rPr>
          <w:rFonts w:ascii="Calibri" w:hAnsi="Calibri" w:cs="Arial"/>
          <w:color w:val="002060"/>
          <w:sz w:val="20"/>
          <w:szCs w:val="20"/>
        </w:rPr>
        <w:t xml:space="preserve"> </w:t>
      </w:r>
      <w:r w:rsidR="005731F5" w:rsidRPr="00EC1647">
        <w:rPr>
          <w:rFonts w:ascii="Calibri" w:hAnsi="Calibri" w:cs="Arial"/>
          <w:color w:val="002060"/>
          <w:sz w:val="20"/>
          <w:szCs w:val="20"/>
        </w:rPr>
        <w:t>consiste</w:t>
      </w:r>
      <w:r w:rsidR="00BB6CE4" w:rsidRPr="00EC1647">
        <w:rPr>
          <w:rFonts w:ascii="Calibri" w:hAnsi="Calibri" w:cs="Arial"/>
          <w:color w:val="002060"/>
          <w:sz w:val="20"/>
          <w:szCs w:val="20"/>
        </w:rPr>
        <w:t xml:space="preserve"> à déterminer, </w:t>
      </w:r>
      <w:r w:rsidR="00BB1C2E" w:rsidRPr="00EC1647">
        <w:rPr>
          <w:rFonts w:ascii="Calibri" w:hAnsi="Calibri" w:cs="Arial"/>
          <w:color w:val="002060"/>
          <w:sz w:val="20"/>
          <w:szCs w:val="20"/>
        </w:rPr>
        <w:t>les objectifs à atteindre et les moyens nécessaires pour y parvenir.</w:t>
      </w:r>
    </w:p>
    <w:p w:rsidR="00BB1C2E" w:rsidRPr="00EC1647" w:rsidRDefault="00BB1C2E" w:rsidP="00E46869">
      <w:pPr>
        <w:spacing w:after="60"/>
        <w:ind w:left="227"/>
        <w:jc w:val="both"/>
        <w:rPr>
          <w:rFonts w:ascii="Calibri" w:hAnsi="Calibri" w:cs="Arial"/>
          <w:color w:val="002060"/>
          <w:sz w:val="20"/>
          <w:szCs w:val="20"/>
        </w:rPr>
      </w:pPr>
      <w:r w:rsidRPr="00EC1647">
        <w:rPr>
          <w:rFonts w:ascii="Calibri" w:hAnsi="Calibri" w:cs="Arial"/>
          <w:color w:val="002060"/>
          <w:sz w:val="20"/>
          <w:szCs w:val="20"/>
        </w:rPr>
        <w:t xml:space="preserve">Elle prend en compte la stratégie choisie, la connaissance du passé, les possibilités de l’entreprise et </w:t>
      </w:r>
      <w:r w:rsidR="00F52769" w:rsidRPr="00EC1647">
        <w:rPr>
          <w:rFonts w:ascii="Calibri" w:hAnsi="Calibri" w:cs="Arial"/>
          <w:color w:val="002060"/>
          <w:sz w:val="20"/>
          <w:szCs w:val="20"/>
        </w:rPr>
        <w:t>celles de l’environnement.</w:t>
      </w:r>
    </w:p>
    <w:p w:rsidR="00F52769" w:rsidRPr="00EC1647" w:rsidRDefault="00BF7E67" w:rsidP="00E46869">
      <w:pPr>
        <w:tabs>
          <w:tab w:val="left" w:pos="720"/>
        </w:tabs>
        <w:spacing w:after="60"/>
        <w:ind w:left="227" w:hanging="227"/>
        <w:jc w:val="both"/>
        <w:rPr>
          <w:rFonts w:ascii="Calibri" w:hAnsi="Calibri" w:cs="Arial"/>
          <w:color w:val="002060"/>
          <w:sz w:val="20"/>
          <w:szCs w:val="20"/>
        </w:rPr>
      </w:pPr>
      <w:r w:rsidRPr="00EC1647">
        <w:rPr>
          <w:rFonts w:ascii="Calibri" w:hAnsi="Calibri" w:cs="Arial"/>
          <w:color w:val="002060"/>
          <w:sz w:val="20"/>
          <w:szCs w:val="20"/>
        </w:rPr>
        <w:sym w:font="Wingdings" w:char="F082"/>
      </w:r>
      <w:r w:rsidRPr="00EC1647">
        <w:rPr>
          <w:rFonts w:ascii="Calibri" w:hAnsi="Calibri" w:cs="Arial"/>
          <w:color w:val="002060"/>
          <w:sz w:val="20"/>
          <w:szCs w:val="20"/>
        </w:rPr>
        <w:t xml:space="preserve"> </w:t>
      </w:r>
      <w:r w:rsidR="00F52769" w:rsidRPr="00EC1647">
        <w:rPr>
          <w:rFonts w:ascii="Calibri" w:hAnsi="Calibri" w:cs="Arial"/>
          <w:color w:val="002060"/>
          <w:sz w:val="20"/>
          <w:szCs w:val="20"/>
        </w:rPr>
        <w:t xml:space="preserve">La </w:t>
      </w:r>
      <w:r w:rsidR="00F52769" w:rsidRPr="00EC1647">
        <w:rPr>
          <w:rFonts w:ascii="Calibri" w:hAnsi="Calibri" w:cs="Arial"/>
          <w:b/>
          <w:color w:val="002060"/>
          <w:sz w:val="20"/>
          <w:szCs w:val="20"/>
        </w:rPr>
        <w:t>valorisation</w:t>
      </w:r>
      <w:r w:rsidR="00F52769" w:rsidRPr="00EC1647">
        <w:rPr>
          <w:rFonts w:ascii="Calibri" w:hAnsi="Calibri" w:cs="Arial"/>
          <w:color w:val="002060"/>
          <w:sz w:val="20"/>
          <w:szCs w:val="20"/>
        </w:rPr>
        <w:t xml:space="preserve"> consiste à chiffrer en quantités et en valeurs les objectifs et moyens et permet de démontrer la rentabilité et la cohérence du programme d’actions envisagé.</w:t>
      </w:r>
    </w:p>
    <w:p w:rsidR="00F52769" w:rsidRPr="00EC1647" w:rsidRDefault="00031FB2" w:rsidP="00E46869">
      <w:pPr>
        <w:tabs>
          <w:tab w:val="left" w:pos="720"/>
        </w:tabs>
        <w:spacing w:after="120"/>
        <w:ind w:left="227" w:hanging="227"/>
        <w:jc w:val="both"/>
        <w:rPr>
          <w:rFonts w:ascii="Calibri" w:hAnsi="Calibri" w:cs="Arial"/>
          <w:color w:val="002060"/>
          <w:sz w:val="20"/>
          <w:szCs w:val="20"/>
        </w:rPr>
      </w:pPr>
      <w:r w:rsidRPr="00EC1647">
        <w:rPr>
          <w:rFonts w:ascii="Calibri" w:hAnsi="Calibri" w:cs="Arial"/>
          <w:color w:val="002060"/>
          <w:sz w:val="20"/>
          <w:szCs w:val="20"/>
        </w:rPr>
        <w:sym w:font="Wingdings" w:char="F083"/>
      </w:r>
      <w:r w:rsidR="00F52769" w:rsidRPr="00EC1647">
        <w:rPr>
          <w:rFonts w:ascii="Calibri" w:hAnsi="Calibri" w:cs="Arial"/>
          <w:color w:val="002060"/>
          <w:sz w:val="20"/>
          <w:szCs w:val="20"/>
        </w:rPr>
        <w:t xml:space="preserve"> Enfin le </w:t>
      </w:r>
      <w:r w:rsidR="005731F5" w:rsidRPr="00EC1647">
        <w:rPr>
          <w:rFonts w:ascii="Calibri" w:hAnsi="Calibri" w:cs="Arial"/>
          <w:b/>
          <w:color w:val="002060"/>
          <w:sz w:val="20"/>
          <w:szCs w:val="20"/>
        </w:rPr>
        <w:t>contrôle</w:t>
      </w:r>
      <w:r w:rsidR="00F52769" w:rsidRPr="00EC1647">
        <w:rPr>
          <w:rFonts w:ascii="Calibri" w:hAnsi="Calibri" w:cs="Arial"/>
          <w:color w:val="002060"/>
          <w:sz w:val="20"/>
          <w:szCs w:val="20"/>
        </w:rPr>
        <w:t xml:space="preserve"> a pour but de suivre la </w:t>
      </w:r>
      <w:r w:rsidR="005731F5" w:rsidRPr="00EC1647">
        <w:rPr>
          <w:rFonts w:ascii="Calibri" w:hAnsi="Calibri" w:cs="Arial"/>
          <w:color w:val="002060"/>
          <w:sz w:val="20"/>
          <w:szCs w:val="20"/>
        </w:rPr>
        <w:t>réalisation</w:t>
      </w:r>
      <w:r w:rsidR="009A7E05" w:rsidRPr="00EC1647">
        <w:rPr>
          <w:rFonts w:ascii="Calibri" w:hAnsi="Calibri" w:cs="Arial"/>
          <w:color w:val="002060"/>
          <w:sz w:val="20"/>
          <w:szCs w:val="20"/>
        </w:rPr>
        <w:t xml:space="preserve"> et de</w:t>
      </w:r>
      <w:r w:rsidR="00F52769" w:rsidRPr="00EC1647">
        <w:rPr>
          <w:rFonts w:ascii="Calibri" w:hAnsi="Calibri" w:cs="Arial"/>
          <w:color w:val="002060"/>
          <w:sz w:val="20"/>
          <w:szCs w:val="20"/>
        </w:rPr>
        <w:t xml:space="preserve"> les rapprocher avec les prévisions à l’issue de chaque période déterminée (mois, trimestre</w:t>
      </w:r>
      <w:r w:rsidR="005731F5" w:rsidRPr="00EC1647">
        <w:rPr>
          <w:rFonts w:ascii="Calibri" w:hAnsi="Calibri" w:cs="Arial"/>
          <w:color w:val="002060"/>
          <w:sz w:val="20"/>
          <w:szCs w:val="20"/>
        </w:rPr>
        <w:t>s</w:t>
      </w:r>
      <w:r w:rsidR="002B1135" w:rsidRPr="00EC1647">
        <w:rPr>
          <w:rFonts w:ascii="Calibri" w:hAnsi="Calibri" w:cs="Arial"/>
          <w:color w:val="002060"/>
          <w:sz w:val="20"/>
          <w:szCs w:val="20"/>
        </w:rPr>
        <w:t xml:space="preserve">). </w:t>
      </w:r>
      <w:r w:rsidR="005731F5" w:rsidRPr="00EC1647">
        <w:rPr>
          <w:rFonts w:ascii="Calibri" w:hAnsi="Calibri" w:cs="Arial"/>
          <w:color w:val="002060"/>
          <w:sz w:val="20"/>
          <w:szCs w:val="20"/>
        </w:rPr>
        <w:t>Cette étape se situe après la réalisation des tâches pour lesquelles le budget a été établi.</w:t>
      </w:r>
    </w:p>
    <w:p w:rsidR="005731F5" w:rsidRPr="00E46010" w:rsidRDefault="005731F5" w:rsidP="009A7E05">
      <w:pPr>
        <w:tabs>
          <w:tab w:val="left" w:pos="720"/>
        </w:tabs>
        <w:spacing w:after="60"/>
        <w:jc w:val="both"/>
        <w:rPr>
          <w:rFonts w:ascii="Calibri" w:hAnsi="Calibri" w:cs="Arial"/>
          <w:b/>
          <w:color w:val="002060"/>
          <w:sz w:val="20"/>
          <w:szCs w:val="20"/>
        </w:rPr>
      </w:pPr>
      <w:r w:rsidRPr="00E46010">
        <w:rPr>
          <w:rFonts w:ascii="Calibri" w:hAnsi="Calibri" w:cs="Arial"/>
          <w:b/>
          <w:color w:val="002060"/>
          <w:sz w:val="20"/>
          <w:szCs w:val="20"/>
        </w:rPr>
        <w:t xml:space="preserve">La hiérarchie des budgets </w:t>
      </w:r>
    </w:p>
    <w:p w:rsidR="00EA581E" w:rsidRPr="00EC1647" w:rsidRDefault="005731F5" w:rsidP="00E11936">
      <w:pPr>
        <w:tabs>
          <w:tab w:val="left" w:pos="720"/>
        </w:tabs>
        <w:spacing w:after="120"/>
        <w:jc w:val="both"/>
        <w:rPr>
          <w:rFonts w:ascii="Calibri" w:hAnsi="Calibri" w:cs="Arial"/>
          <w:color w:val="002060"/>
          <w:sz w:val="20"/>
          <w:szCs w:val="20"/>
        </w:rPr>
      </w:pPr>
      <w:r w:rsidRPr="00EC1647">
        <w:rPr>
          <w:rFonts w:ascii="Calibri" w:hAnsi="Calibri" w:cs="Arial"/>
          <w:color w:val="002060"/>
          <w:sz w:val="20"/>
          <w:szCs w:val="20"/>
        </w:rPr>
        <w:t xml:space="preserve">Le budget général est la synthèse d’un ensemble de budgets particuliers dans lequel le </w:t>
      </w:r>
      <w:r w:rsidR="00BB6CE4" w:rsidRPr="00EC1647">
        <w:rPr>
          <w:rFonts w:ascii="Calibri" w:hAnsi="Calibri" w:cs="Arial"/>
          <w:color w:val="002060"/>
          <w:sz w:val="20"/>
          <w:szCs w:val="20"/>
        </w:rPr>
        <w:t>programme</w:t>
      </w:r>
      <w:r w:rsidRPr="00EC1647">
        <w:rPr>
          <w:rFonts w:ascii="Calibri" w:hAnsi="Calibri" w:cs="Arial"/>
          <w:color w:val="002060"/>
          <w:sz w:val="20"/>
          <w:szCs w:val="20"/>
        </w:rPr>
        <w:t xml:space="preserve"> des ventes</w:t>
      </w:r>
      <w:r w:rsidR="00BB6CE4" w:rsidRPr="00EC1647">
        <w:rPr>
          <w:rFonts w:ascii="Calibri" w:hAnsi="Calibri" w:cs="Arial"/>
          <w:color w:val="002060"/>
          <w:sz w:val="20"/>
          <w:szCs w:val="20"/>
        </w:rPr>
        <w:t xml:space="preserve"> est la </w:t>
      </w:r>
      <w:r w:rsidR="00BB6CE4" w:rsidRPr="00E46869">
        <w:rPr>
          <w:rFonts w:ascii="Calibri" w:hAnsi="Calibri" w:cs="Arial"/>
          <w:b/>
          <w:color w:val="002060"/>
          <w:sz w:val="20"/>
          <w:szCs w:val="20"/>
        </w:rPr>
        <w:t>clé de voûte</w:t>
      </w:r>
      <w:r w:rsidR="00BB6CE4" w:rsidRPr="00EC1647">
        <w:rPr>
          <w:rFonts w:ascii="Calibri" w:hAnsi="Calibri" w:cs="Arial"/>
          <w:color w:val="002060"/>
          <w:sz w:val="20"/>
          <w:szCs w:val="20"/>
        </w:rPr>
        <w:t xml:space="preserve"> qui conditionne l’élaboration des autres budgets (Production, approvisionnements, investissements, frais généraux…).</w:t>
      </w:r>
    </w:p>
    <w:p w:rsidR="002B1135" w:rsidRPr="00903DAA" w:rsidRDefault="005731F5" w:rsidP="00E11936">
      <w:pPr>
        <w:tabs>
          <w:tab w:val="left" w:pos="720"/>
        </w:tabs>
        <w:spacing w:after="60"/>
        <w:jc w:val="both"/>
        <w:rPr>
          <w:rFonts w:ascii="Calibri" w:hAnsi="Calibri" w:cs="Arial"/>
          <w:b/>
          <w:color w:val="002060"/>
          <w:sz w:val="21"/>
          <w:szCs w:val="21"/>
        </w:rPr>
      </w:pPr>
      <w:r w:rsidRPr="00903DAA">
        <w:rPr>
          <w:rFonts w:ascii="Calibri" w:hAnsi="Calibri"/>
          <w:b/>
          <w:color w:val="002060"/>
          <w:sz w:val="21"/>
          <w:szCs w:val="21"/>
        </w:rPr>
        <w:t>II</w:t>
      </w:r>
      <w:r w:rsidR="00E11936" w:rsidRPr="00903DAA">
        <w:rPr>
          <w:rFonts w:ascii="Calibri" w:hAnsi="Calibri"/>
          <w:b/>
          <w:color w:val="002060"/>
          <w:sz w:val="21"/>
          <w:szCs w:val="21"/>
        </w:rPr>
        <w:t xml:space="preserve"> </w:t>
      </w:r>
      <w:r w:rsidR="00031FB2" w:rsidRPr="00903DAA">
        <w:rPr>
          <w:rFonts w:ascii="Calibri" w:hAnsi="Calibri" w:cs="Arial"/>
          <w:b/>
          <w:color w:val="002060"/>
          <w:sz w:val="21"/>
          <w:szCs w:val="21"/>
        </w:rPr>
        <w:t>-</w:t>
      </w:r>
      <w:r w:rsidRPr="00903DAA">
        <w:rPr>
          <w:rFonts w:ascii="Calibri" w:hAnsi="Calibri" w:cs="Arial"/>
          <w:b/>
          <w:color w:val="002060"/>
          <w:sz w:val="21"/>
          <w:szCs w:val="21"/>
        </w:rPr>
        <w:t xml:space="preserve"> </w:t>
      </w:r>
      <w:r w:rsidR="00E11936" w:rsidRPr="00903DAA">
        <w:rPr>
          <w:rFonts w:ascii="Calibri" w:hAnsi="Calibri" w:cs="Arial"/>
          <w:b/>
          <w:color w:val="002060"/>
          <w:sz w:val="21"/>
          <w:szCs w:val="21"/>
        </w:rPr>
        <w:t>la mise en place du budget</w:t>
      </w:r>
    </w:p>
    <w:p w:rsidR="009A7E05" w:rsidRPr="00EC1647" w:rsidRDefault="005731F5" w:rsidP="00FE3C80">
      <w:pPr>
        <w:tabs>
          <w:tab w:val="left" w:pos="720"/>
        </w:tabs>
        <w:spacing w:after="60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t>La mise en place d’une gestion budgétaire nécessite :</w:t>
      </w:r>
      <w:r w:rsidR="009A7E05" w:rsidRPr="00EC1647">
        <w:rPr>
          <w:rFonts w:ascii="Calibri" w:hAnsi="Calibri" w:cs="Arial"/>
          <w:color w:val="002060"/>
          <w:sz w:val="20"/>
        </w:rPr>
        <w:tab/>
      </w:r>
    </w:p>
    <w:p w:rsidR="00BB6CE4" w:rsidRPr="00EC1647" w:rsidRDefault="00E068DF" w:rsidP="00E279C2">
      <w:pPr>
        <w:tabs>
          <w:tab w:val="left" w:pos="720"/>
        </w:tabs>
        <w:spacing w:after="60"/>
        <w:ind w:left="113"/>
        <w:jc w:val="both"/>
        <w:rPr>
          <w:rFonts w:ascii="Calibri" w:hAnsi="Calibri" w:cs="Arial"/>
          <w:color w:val="002060"/>
          <w:sz w:val="20"/>
        </w:rPr>
      </w:pPr>
      <w:r w:rsidRPr="00E068DF">
        <w:rPr>
          <w:rFonts w:ascii="Calibri" w:hAnsi="Calibri" w:cs="Calibri"/>
          <w:b/>
          <w:color w:val="002060"/>
          <w:sz w:val="20"/>
        </w:rPr>
        <w:t>˃</w:t>
      </w:r>
      <w:r w:rsidR="00BB6CE4" w:rsidRPr="00EC1647">
        <w:rPr>
          <w:rFonts w:ascii="Calibri" w:hAnsi="Calibri" w:cs="Arial"/>
          <w:color w:val="002060"/>
          <w:sz w:val="20"/>
        </w:rPr>
        <w:t xml:space="preserve"> la répartition des responsabilités </w:t>
      </w:r>
    </w:p>
    <w:p w:rsidR="005731F5" w:rsidRPr="00EC1647" w:rsidRDefault="00E068DF" w:rsidP="00E279C2">
      <w:pPr>
        <w:tabs>
          <w:tab w:val="left" w:pos="720"/>
        </w:tabs>
        <w:spacing w:after="60"/>
        <w:ind w:left="113"/>
        <w:jc w:val="both"/>
        <w:rPr>
          <w:rFonts w:ascii="Calibri" w:hAnsi="Calibri" w:cs="Arial"/>
          <w:color w:val="002060"/>
          <w:sz w:val="20"/>
        </w:rPr>
      </w:pPr>
      <w:r w:rsidRPr="00E068DF">
        <w:rPr>
          <w:rFonts w:ascii="Calibri" w:hAnsi="Calibri" w:cs="Calibri"/>
          <w:b/>
          <w:color w:val="002060"/>
          <w:sz w:val="20"/>
        </w:rPr>
        <w:t>˃</w:t>
      </w:r>
      <w:r w:rsidR="005731F5" w:rsidRPr="00EC1647">
        <w:rPr>
          <w:rFonts w:ascii="Calibri" w:hAnsi="Calibri" w:cs="Arial"/>
          <w:color w:val="002060"/>
          <w:sz w:val="20"/>
        </w:rPr>
        <w:t xml:space="preserve"> la définition d’objectifs</w:t>
      </w:r>
    </w:p>
    <w:p w:rsidR="005731F5" w:rsidRPr="00EC1647" w:rsidRDefault="00E068DF" w:rsidP="00E279C2">
      <w:pPr>
        <w:tabs>
          <w:tab w:val="left" w:pos="720"/>
        </w:tabs>
        <w:spacing w:after="60"/>
        <w:ind w:left="113"/>
        <w:jc w:val="both"/>
        <w:rPr>
          <w:rFonts w:ascii="Calibri" w:hAnsi="Calibri" w:cs="Arial"/>
          <w:color w:val="002060"/>
          <w:sz w:val="20"/>
        </w:rPr>
      </w:pPr>
      <w:r w:rsidRPr="00E068DF">
        <w:rPr>
          <w:rFonts w:ascii="Calibri" w:hAnsi="Calibri" w:cs="Calibri"/>
          <w:b/>
          <w:color w:val="002060"/>
          <w:sz w:val="20"/>
        </w:rPr>
        <w:t>˃</w:t>
      </w:r>
      <w:r w:rsidR="005731F5" w:rsidRPr="00EC1647">
        <w:rPr>
          <w:rFonts w:ascii="Calibri" w:hAnsi="Calibri" w:cs="Arial"/>
          <w:color w:val="002060"/>
          <w:sz w:val="20"/>
        </w:rPr>
        <w:t xml:space="preserve"> la participation des responsables</w:t>
      </w:r>
    </w:p>
    <w:p w:rsidR="00E068DF" w:rsidRDefault="00E068DF" w:rsidP="00E279C2">
      <w:pPr>
        <w:tabs>
          <w:tab w:val="left" w:pos="720"/>
        </w:tabs>
        <w:spacing w:after="120"/>
        <w:ind w:left="113"/>
        <w:jc w:val="both"/>
        <w:rPr>
          <w:rFonts w:ascii="Calibri" w:hAnsi="Calibri" w:cs="Arial"/>
          <w:color w:val="002060"/>
          <w:sz w:val="20"/>
        </w:rPr>
      </w:pPr>
      <w:r w:rsidRPr="00E068DF">
        <w:rPr>
          <w:rFonts w:ascii="Calibri" w:hAnsi="Calibri" w:cs="Calibri"/>
          <w:b/>
          <w:color w:val="002060"/>
          <w:sz w:val="20"/>
        </w:rPr>
        <w:t>˃</w:t>
      </w:r>
      <w:r w:rsidR="00AB216E">
        <w:rPr>
          <w:rFonts w:ascii="Calibri" w:hAnsi="Calibri" w:cs="Arial"/>
          <w:color w:val="002060"/>
          <w:sz w:val="20"/>
        </w:rPr>
        <w:t xml:space="preserve"> </w:t>
      </w:r>
      <w:r w:rsidR="00BB6CE4" w:rsidRPr="00EC1647">
        <w:rPr>
          <w:rFonts w:ascii="Calibri" w:hAnsi="Calibri" w:cs="Arial"/>
          <w:color w:val="002060"/>
          <w:sz w:val="20"/>
        </w:rPr>
        <w:t>la collaboration entre responsables</w:t>
      </w:r>
    </w:p>
    <w:tbl>
      <w:tblPr>
        <w:tblStyle w:val="Grilledutableau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944"/>
      </w:tblGrid>
      <w:tr w:rsidR="00E068DF" w:rsidTr="00E279C2">
        <w:tc>
          <w:tcPr>
            <w:tcW w:w="9944" w:type="dxa"/>
            <w:shd w:val="clear" w:color="auto" w:fill="FFFFCC"/>
          </w:tcPr>
          <w:p w:rsidR="00E068DF" w:rsidRDefault="00E068DF" w:rsidP="00E279C2">
            <w:pPr>
              <w:shd w:val="clear" w:color="auto" w:fill="FFFFCC"/>
              <w:tabs>
                <w:tab w:val="left" w:pos="720"/>
              </w:tabs>
              <w:spacing w:before="60" w:after="60"/>
              <w:ind w:left="170" w:right="170"/>
              <w:jc w:val="both"/>
              <w:rPr>
                <w:rFonts w:ascii="Calibri" w:hAnsi="Calibri" w:cs="Arial"/>
                <w:color w:val="002060"/>
                <w:sz w:val="20"/>
              </w:rPr>
            </w:pPr>
            <w:r w:rsidRPr="00EC1647">
              <w:rPr>
                <w:rFonts w:ascii="Calibri" w:hAnsi="Calibri" w:cs="Arial"/>
                <w:b/>
                <w:bCs/>
                <w:color w:val="002060"/>
                <w:sz w:val="20"/>
              </w:rPr>
              <w:t>Tout cela doit concourir à l’élaboration d’un budget réaliste et au respect ultérieur des contraintes déterminées par ce budget</w:t>
            </w:r>
          </w:p>
        </w:tc>
      </w:tr>
    </w:tbl>
    <w:p w:rsidR="005F0A6A" w:rsidRPr="005F0A6A" w:rsidRDefault="00903DAA" w:rsidP="00E279C2">
      <w:pPr>
        <w:tabs>
          <w:tab w:val="left" w:pos="720"/>
        </w:tabs>
        <w:spacing w:before="120" w:after="60"/>
        <w:jc w:val="both"/>
        <w:rPr>
          <w:rFonts w:ascii="Calibri" w:hAnsi="Calibri" w:cs="Arial"/>
          <w:b/>
          <w:color w:val="002060"/>
          <w:sz w:val="20"/>
        </w:rPr>
      </w:pPr>
      <w:r>
        <w:pict>
          <v:shape id="_x0000_i1026" type="#_x0000_t75" alt="triangle" style="width:9pt;height:7.5pt;visibility:visible;mso-wrap-style:square">
            <v:imagedata r:id="rId7" o:title="triangle"/>
          </v:shape>
        </w:pict>
      </w:r>
      <w:r w:rsidR="005F0A6A" w:rsidRPr="005F0A6A">
        <w:rPr>
          <w:rFonts w:ascii="Calibri" w:hAnsi="Calibri" w:cs="Arial"/>
          <w:b/>
          <w:color w:val="002060"/>
          <w:sz w:val="20"/>
        </w:rPr>
        <w:t xml:space="preserve"> Mécanisme du budget</w:t>
      </w:r>
    </w:p>
    <w:p w:rsidR="005F0A6A" w:rsidRDefault="005F0A6A" w:rsidP="005F0A6A">
      <w:pPr>
        <w:tabs>
          <w:tab w:val="left" w:pos="720"/>
        </w:tabs>
        <w:spacing w:after="60"/>
        <w:ind w:left="284"/>
        <w:jc w:val="both"/>
        <w:rPr>
          <w:rFonts w:ascii="Calibri" w:hAnsi="Calibri" w:cs="Arial"/>
          <w:color w:val="002060"/>
          <w:sz w:val="20"/>
        </w:rPr>
      </w:pPr>
      <w:r w:rsidRPr="005F0A6A">
        <w:rPr>
          <w:noProof/>
        </w:rPr>
        <w:drawing>
          <wp:inline distT="0" distB="0" distL="0" distR="0">
            <wp:extent cx="3886200" cy="35337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FA" w:rsidRPr="00EC1647" w:rsidRDefault="000964FA" w:rsidP="000964FA">
      <w:pPr>
        <w:tabs>
          <w:tab w:val="left" w:pos="720"/>
        </w:tabs>
        <w:spacing w:after="60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lastRenderedPageBreak/>
        <w:t xml:space="preserve">Les différents budgets à élaborer sont : </w:t>
      </w:r>
    </w:p>
    <w:p w:rsidR="00962864" w:rsidRDefault="000964FA" w:rsidP="00962864">
      <w:pPr>
        <w:pStyle w:val="Paragraphedeliste"/>
        <w:numPr>
          <w:ilvl w:val="0"/>
          <w:numId w:val="3"/>
        </w:numPr>
        <w:tabs>
          <w:tab w:val="left" w:pos="720"/>
        </w:tabs>
        <w:ind w:left="170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t xml:space="preserve">Le budget commercial, </w:t>
      </w:r>
      <w:r w:rsidRPr="009700AE">
        <w:rPr>
          <w:rFonts w:ascii="Calibri" w:hAnsi="Calibri" w:cs="Arial"/>
          <w:b/>
          <w:color w:val="002060"/>
          <w:sz w:val="20"/>
        </w:rPr>
        <w:t>budget directeur</w:t>
      </w:r>
      <w:r w:rsidRPr="00EC1647">
        <w:rPr>
          <w:rFonts w:ascii="Calibri" w:hAnsi="Calibri" w:cs="Arial"/>
          <w:color w:val="002060"/>
          <w:sz w:val="20"/>
        </w:rPr>
        <w:t>,</w:t>
      </w:r>
      <w:r w:rsidR="00F54702">
        <w:rPr>
          <w:rFonts w:ascii="Calibri" w:hAnsi="Calibri" w:cs="Arial"/>
          <w:color w:val="002060"/>
          <w:sz w:val="20"/>
        </w:rPr>
        <w:t xml:space="preserve"> </w:t>
      </w:r>
      <w:r w:rsidR="00962864">
        <w:rPr>
          <w:rFonts w:ascii="Calibri" w:hAnsi="Calibri" w:cs="Arial"/>
          <w:color w:val="002060"/>
          <w:sz w:val="20"/>
        </w:rPr>
        <w:t xml:space="preserve">élément primordial de </w:t>
      </w:r>
      <w:r w:rsidR="00F54702">
        <w:rPr>
          <w:rFonts w:ascii="Calibri" w:hAnsi="Calibri" w:cs="Arial"/>
          <w:color w:val="002060"/>
          <w:sz w:val="20"/>
        </w:rPr>
        <w:t>la construction</w:t>
      </w:r>
      <w:r w:rsidR="00962864">
        <w:rPr>
          <w:rFonts w:ascii="Calibri" w:hAnsi="Calibri" w:cs="Arial"/>
          <w:color w:val="002060"/>
          <w:sz w:val="20"/>
        </w:rPr>
        <w:t xml:space="preserve"> budgétaire. Il sera établi en fonction des contraintes du marché, de la concurrence, de la capacité de production et de la capacité de l’entreprise de modifier ses propres contraintes</w:t>
      </w:r>
    </w:p>
    <w:p w:rsidR="000964FA" w:rsidRPr="00EC1647" w:rsidRDefault="00962864" w:rsidP="00962864">
      <w:pPr>
        <w:pStyle w:val="Paragraphedeliste"/>
        <w:tabs>
          <w:tab w:val="left" w:pos="720"/>
        </w:tabs>
        <w:spacing w:after="60"/>
        <w:ind w:left="170"/>
        <w:contextualSpacing w:val="0"/>
        <w:jc w:val="both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Ce budget, qui s’intéresse à la détermination du programme des ventes, l’estimation du chiffre d’affaires et de l’évaluation des moyens commerciaux,</w:t>
      </w:r>
      <w:r w:rsidR="000964FA" w:rsidRPr="00EC1647">
        <w:rPr>
          <w:rFonts w:ascii="Calibri" w:hAnsi="Calibri" w:cs="Arial"/>
          <w:color w:val="002060"/>
          <w:sz w:val="20"/>
        </w:rPr>
        <w:t xml:space="preserve"> comprend :</w:t>
      </w:r>
    </w:p>
    <w:p w:rsidR="000964FA" w:rsidRPr="00EC1647" w:rsidRDefault="000964FA" w:rsidP="000964FA">
      <w:pPr>
        <w:tabs>
          <w:tab w:val="left" w:pos="720"/>
        </w:tabs>
        <w:spacing w:after="30"/>
        <w:ind w:left="170"/>
        <w:jc w:val="both"/>
        <w:rPr>
          <w:rFonts w:ascii="Calibri" w:hAnsi="Calibri" w:cs="Arial"/>
          <w:color w:val="002060"/>
          <w:sz w:val="20"/>
        </w:rPr>
      </w:pPr>
      <w:r w:rsidRPr="00355993">
        <w:rPr>
          <w:rFonts w:ascii="Calibri" w:hAnsi="Calibri"/>
          <w:noProof/>
          <w:color w:val="002060"/>
          <w:sz w:val="20"/>
          <w:szCs w:val="20"/>
        </w:rPr>
        <w:drawing>
          <wp:inline distT="0" distB="0" distL="0" distR="0" wp14:anchorId="55F28E97" wp14:editId="55552DB1">
            <wp:extent cx="114300" cy="95250"/>
            <wp:effectExtent l="0" t="0" r="0" b="0"/>
            <wp:docPr id="5" name="Image 5" descr="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iang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647">
        <w:rPr>
          <w:rFonts w:ascii="Calibri" w:hAnsi="Calibri" w:cs="Arial"/>
          <w:color w:val="002060"/>
          <w:sz w:val="20"/>
        </w:rPr>
        <w:t xml:space="preserve">Le budget principal qui comporte </w:t>
      </w:r>
      <w:r w:rsidR="00B54F1B">
        <w:rPr>
          <w:rFonts w:ascii="Calibri" w:hAnsi="Calibri" w:cs="Arial"/>
          <w:color w:val="002060"/>
          <w:sz w:val="20"/>
        </w:rPr>
        <w:t>2</w:t>
      </w:r>
      <w:r w:rsidRPr="00EC1647">
        <w:rPr>
          <w:rFonts w:ascii="Calibri" w:hAnsi="Calibri" w:cs="Arial"/>
          <w:color w:val="002060"/>
          <w:sz w:val="20"/>
        </w:rPr>
        <w:t xml:space="preserve"> approches </w:t>
      </w:r>
    </w:p>
    <w:p w:rsidR="000964FA" w:rsidRPr="00EC1647" w:rsidRDefault="000964FA" w:rsidP="00E068DF">
      <w:pPr>
        <w:tabs>
          <w:tab w:val="left" w:pos="720"/>
        </w:tabs>
        <w:spacing w:after="30"/>
        <w:ind w:left="624" w:hanging="227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sym w:font="Wingdings" w:char="F081"/>
      </w:r>
      <w:r w:rsidRPr="00EC1647">
        <w:rPr>
          <w:rFonts w:ascii="Calibri" w:hAnsi="Calibri" w:cs="Arial"/>
          <w:color w:val="002060"/>
          <w:sz w:val="20"/>
        </w:rPr>
        <w:t xml:space="preserve"> Un chiffrage en volume</w:t>
      </w:r>
      <w:r w:rsidR="000C3B72">
        <w:rPr>
          <w:rFonts w:ascii="Calibri" w:hAnsi="Calibri" w:cs="Arial"/>
          <w:color w:val="002060"/>
          <w:sz w:val="20"/>
        </w:rPr>
        <w:t>, par produits ou famille de produits</w:t>
      </w:r>
      <w:r w:rsidRPr="00EC1647">
        <w:rPr>
          <w:rFonts w:ascii="Calibri" w:hAnsi="Calibri" w:cs="Arial"/>
          <w:color w:val="002060"/>
          <w:sz w:val="20"/>
        </w:rPr>
        <w:t xml:space="preserve"> permettant </w:t>
      </w:r>
      <w:r w:rsidR="000C3B72">
        <w:rPr>
          <w:rFonts w:ascii="Calibri" w:hAnsi="Calibri" w:cs="Arial"/>
          <w:color w:val="002060"/>
          <w:sz w:val="20"/>
        </w:rPr>
        <w:t>d’évaluer</w:t>
      </w:r>
      <w:r w:rsidRPr="00EC1647">
        <w:rPr>
          <w:rFonts w:ascii="Calibri" w:hAnsi="Calibri" w:cs="Arial"/>
          <w:color w:val="002060"/>
          <w:sz w:val="20"/>
        </w:rPr>
        <w:t xml:space="preserve"> le niveau d’activité</w:t>
      </w:r>
      <w:r w:rsidR="000C3B72">
        <w:rPr>
          <w:rFonts w:ascii="Calibri" w:hAnsi="Calibri" w:cs="Arial"/>
          <w:color w:val="002060"/>
          <w:sz w:val="20"/>
        </w:rPr>
        <w:t xml:space="preserve"> et les budgets de l’ensemble des services en aval (services commerciaux, production, achats, etc.)</w:t>
      </w:r>
      <w:r>
        <w:rPr>
          <w:rFonts w:ascii="Calibri" w:hAnsi="Calibri" w:cs="Arial"/>
          <w:color w:val="002060"/>
          <w:sz w:val="20"/>
        </w:rPr>
        <w:t>,</w:t>
      </w:r>
    </w:p>
    <w:p w:rsidR="000964FA" w:rsidRPr="00EC1647" w:rsidRDefault="000964FA" w:rsidP="000964FA">
      <w:pPr>
        <w:tabs>
          <w:tab w:val="left" w:pos="720"/>
        </w:tabs>
        <w:spacing w:after="60"/>
        <w:ind w:left="397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sym w:font="Wingdings" w:char="F082"/>
      </w:r>
      <w:r w:rsidRPr="00EC1647">
        <w:rPr>
          <w:rFonts w:ascii="Calibri" w:hAnsi="Calibri" w:cs="Arial"/>
          <w:color w:val="002060"/>
          <w:sz w:val="20"/>
        </w:rPr>
        <w:t xml:space="preserve"> Un chiffre en valeur permettant de déterminer les recettes de l’entreprise</w:t>
      </w:r>
    </w:p>
    <w:p w:rsidR="00E068DF" w:rsidRDefault="000964FA" w:rsidP="00E068DF">
      <w:pPr>
        <w:tabs>
          <w:tab w:val="left" w:pos="720"/>
        </w:tabs>
        <w:spacing w:after="30"/>
        <w:ind w:left="170"/>
        <w:jc w:val="both"/>
        <w:rPr>
          <w:rFonts w:ascii="Calibri" w:hAnsi="Calibri" w:cs="Arial"/>
          <w:color w:val="002060"/>
          <w:sz w:val="20"/>
        </w:rPr>
      </w:pPr>
      <w:r w:rsidRPr="00355993">
        <w:rPr>
          <w:rFonts w:ascii="Calibri" w:hAnsi="Calibri"/>
          <w:noProof/>
          <w:color w:val="002060"/>
          <w:sz w:val="20"/>
          <w:szCs w:val="20"/>
        </w:rPr>
        <w:drawing>
          <wp:inline distT="0" distB="0" distL="0" distR="0" wp14:anchorId="3FC6BC4A" wp14:editId="46322651">
            <wp:extent cx="114300" cy="95250"/>
            <wp:effectExtent l="0" t="0" r="0" b="0"/>
            <wp:docPr id="6" name="Image 6" descr="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iang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647">
        <w:rPr>
          <w:rFonts w:ascii="Calibri" w:hAnsi="Calibri" w:cs="Arial"/>
          <w:color w:val="002060"/>
          <w:sz w:val="20"/>
        </w:rPr>
        <w:t>Le budget des frais commerciaux</w:t>
      </w:r>
      <w:r w:rsidR="00F54702">
        <w:rPr>
          <w:rFonts w:ascii="Calibri" w:hAnsi="Calibri" w:cs="Arial"/>
          <w:color w:val="002060"/>
          <w:sz w:val="20"/>
        </w:rPr>
        <w:t xml:space="preserve">. </w:t>
      </w:r>
    </w:p>
    <w:p w:rsidR="000964FA" w:rsidRPr="00EC1647" w:rsidRDefault="00F54702" w:rsidP="00E068DF">
      <w:pPr>
        <w:tabs>
          <w:tab w:val="left" w:pos="720"/>
        </w:tabs>
        <w:spacing w:after="120"/>
        <w:ind w:left="340"/>
        <w:jc w:val="both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Déterminé à partir du budget des ventes, Il comprend les frais relatifs à la force de vente, l’administration commerciale, les frais de distribution et de logistique, la publicité et la promotion.</w:t>
      </w:r>
    </w:p>
    <w:p w:rsidR="000964FA" w:rsidRPr="00EC1647" w:rsidRDefault="000964FA" w:rsidP="000964FA">
      <w:pPr>
        <w:pStyle w:val="Paragraphedeliste"/>
        <w:numPr>
          <w:ilvl w:val="0"/>
          <w:numId w:val="3"/>
        </w:numPr>
        <w:tabs>
          <w:tab w:val="left" w:pos="720"/>
        </w:tabs>
        <w:spacing w:after="60"/>
        <w:ind w:left="170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t>Le budget de production dont l’objectif est double :</w:t>
      </w:r>
    </w:p>
    <w:p w:rsidR="000964FA" w:rsidRPr="00EC1647" w:rsidRDefault="000964FA" w:rsidP="000964FA">
      <w:pPr>
        <w:tabs>
          <w:tab w:val="left" w:pos="720"/>
        </w:tabs>
        <w:spacing w:after="60"/>
        <w:ind w:left="284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sym w:font="Wingdings" w:char="F081"/>
      </w:r>
      <w:r w:rsidRPr="00EC1647">
        <w:rPr>
          <w:rFonts w:ascii="Calibri" w:hAnsi="Calibri" w:cs="Arial"/>
          <w:color w:val="002060"/>
          <w:sz w:val="20"/>
        </w:rPr>
        <w:t xml:space="preserve"> Satisfaire la demande</w:t>
      </w:r>
    </w:p>
    <w:p w:rsidR="000964FA" w:rsidRPr="00EC1647" w:rsidRDefault="000964FA" w:rsidP="000964FA">
      <w:pPr>
        <w:tabs>
          <w:tab w:val="left" w:pos="720"/>
        </w:tabs>
        <w:spacing w:after="120"/>
        <w:ind w:left="284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sym w:font="Wingdings" w:char="F082"/>
      </w:r>
      <w:r w:rsidRPr="00EC1647">
        <w:rPr>
          <w:rFonts w:ascii="Calibri" w:hAnsi="Calibri" w:cs="Arial"/>
          <w:color w:val="002060"/>
          <w:sz w:val="20"/>
        </w:rPr>
        <w:t xml:space="preserve"> Utiliser au mieux les capacités de production afin de limiter le coût de production.</w:t>
      </w:r>
    </w:p>
    <w:p w:rsidR="000964FA" w:rsidRPr="00EC1647" w:rsidRDefault="000964FA" w:rsidP="000964FA">
      <w:pPr>
        <w:pStyle w:val="Paragraphedeliste"/>
        <w:numPr>
          <w:ilvl w:val="0"/>
          <w:numId w:val="3"/>
        </w:numPr>
        <w:tabs>
          <w:tab w:val="left" w:pos="720"/>
        </w:tabs>
        <w:spacing w:after="60"/>
        <w:ind w:left="170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t>Le budget des approvisionnements qui consiste à chiffrer les approvisionnements nécessaires à l’activité et devant être fournis en temps opportun et au moindre coût.</w:t>
      </w:r>
    </w:p>
    <w:p w:rsidR="000964FA" w:rsidRPr="00EC1647" w:rsidRDefault="000964FA" w:rsidP="000964FA">
      <w:pPr>
        <w:tabs>
          <w:tab w:val="left" w:pos="720"/>
        </w:tabs>
        <w:spacing w:after="60"/>
        <w:ind w:left="340" w:hanging="170"/>
        <w:jc w:val="both"/>
        <w:rPr>
          <w:rFonts w:ascii="Calibri" w:hAnsi="Calibri" w:cs="Arial"/>
          <w:color w:val="002060"/>
          <w:sz w:val="20"/>
        </w:rPr>
      </w:pPr>
      <w:r w:rsidRPr="00355993">
        <w:rPr>
          <w:rFonts w:ascii="Calibri" w:hAnsi="Calibri"/>
          <w:noProof/>
          <w:color w:val="002060"/>
          <w:sz w:val="20"/>
          <w:szCs w:val="20"/>
        </w:rPr>
        <w:drawing>
          <wp:inline distT="0" distB="0" distL="0" distR="0" wp14:anchorId="0CF4DD8D" wp14:editId="28E421D2">
            <wp:extent cx="114300" cy="95250"/>
            <wp:effectExtent l="0" t="0" r="0" b="0"/>
            <wp:docPr id="7" name="Image 7" descr="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iang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647">
        <w:rPr>
          <w:rFonts w:ascii="Calibri" w:hAnsi="Calibri" w:cs="Arial"/>
          <w:color w:val="002060"/>
          <w:sz w:val="20"/>
        </w:rPr>
        <w:t>L’obligation de temps opportun fait apparaître la notion de stock de sécurité</w:t>
      </w:r>
    </w:p>
    <w:p w:rsidR="000964FA" w:rsidRDefault="000964FA" w:rsidP="000964FA">
      <w:pPr>
        <w:tabs>
          <w:tab w:val="left" w:pos="720"/>
        </w:tabs>
        <w:spacing w:after="120"/>
        <w:ind w:left="340" w:hanging="170"/>
        <w:jc w:val="both"/>
        <w:rPr>
          <w:rFonts w:ascii="Calibri" w:hAnsi="Calibri" w:cs="Arial"/>
          <w:color w:val="002060"/>
          <w:sz w:val="20"/>
        </w:rPr>
      </w:pPr>
      <w:r w:rsidRPr="00EF2F02">
        <w:rPr>
          <w:noProof/>
        </w:rPr>
        <w:drawing>
          <wp:inline distT="0" distB="0" distL="0" distR="0">
            <wp:extent cx="114300" cy="95250"/>
            <wp:effectExtent l="0" t="0" r="0" b="0"/>
            <wp:docPr id="8" name="Image 8" descr="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riang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647">
        <w:rPr>
          <w:rFonts w:ascii="Calibri" w:hAnsi="Calibri" w:cs="Arial"/>
          <w:color w:val="002060"/>
          <w:sz w:val="20"/>
        </w:rPr>
        <w:t>Le coût englobe non seulement les coûts liés à la passation de commande mais également ceux liés à la possession du stock (emplacement et financement)</w:t>
      </w:r>
    </w:p>
    <w:p w:rsidR="000964FA" w:rsidRDefault="000964FA" w:rsidP="000964FA">
      <w:pPr>
        <w:pStyle w:val="Paragraphedeliste"/>
        <w:numPr>
          <w:ilvl w:val="0"/>
          <w:numId w:val="3"/>
        </w:numPr>
        <w:tabs>
          <w:tab w:val="left" w:pos="720"/>
        </w:tabs>
        <w:spacing w:after="60"/>
        <w:ind w:left="170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 w:rsidRPr="00EC1647">
        <w:rPr>
          <w:rFonts w:ascii="Calibri" w:hAnsi="Calibri" w:cs="Arial"/>
          <w:color w:val="002060"/>
          <w:sz w:val="20"/>
        </w:rPr>
        <w:t>Le budget des investissements qui recense tous les besoins en matière de :</w:t>
      </w:r>
    </w:p>
    <w:p w:rsidR="00E068DF" w:rsidRDefault="00E068DF" w:rsidP="00E068DF">
      <w:pPr>
        <w:pStyle w:val="Paragraphedeliste"/>
        <w:numPr>
          <w:ilvl w:val="1"/>
          <w:numId w:val="3"/>
        </w:numPr>
        <w:tabs>
          <w:tab w:val="left" w:pos="720"/>
        </w:tabs>
        <w:spacing w:after="60"/>
        <w:ind w:left="397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P</w:t>
      </w:r>
      <w:r w:rsidR="000964FA" w:rsidRPr="00E068DF">
        <w:rPr>
          <w:rFonts w:ascii="Calibri" w:hAnsi="Calibri" w:cs="Arial"/>
          <w:color w:val="002060"/>
          <w:sz w:val="20"/>
        </w:rPr>
        <w:t>roduits, outillage et équipements,</w:t>
      </w:r>
    </w:p>
    <w:p w:rsidR="00E068DF" w:rsidRDefault="00E068DF" w:rsidP="00E068DF">
      <w:pPr>
        <w:pStyle w:val="Paragraphedeliste"/>
        <w:numPr>
          <w:ilvl w:val="1"/>
          <w:numId w:val="3"/>
        </w:numPr>
        <w:tabs>
          <w:tab w:val="left" w:pos="720"/>
        </w:tabs>
        <w:spacing w:after="60"/>
        <w:ind w:left="397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A</w:t>
      </w:r>
      <w:r w:rsidR="000964FA" w:rsidRPr="00E068DF">
        <w:rPr>
          <w:rFonts w:ascii="Calibri" w:hAnsi="Calibri" w:cs="Arial"/>
          <w:color w:val="002060"/>
          <w:sz w:val="20"/>
        </w:rPr>
        <w:t>ménagements,</w:t>
      </w:r>
    </w:p>
    <w:p w:rsidR="00E068DF" w:rsidRDefault="00E068DF" w:rsidP="00E068DF">
      <w:pPr>
        <w:pStyle w:val="Paragraphedeliste"/>
        <w:numPr>
          <w:ilvl w:val="1"/>
          <w:numId w:val="3"/>
        </w:numPr>
        <w:tabs>
          <w:tab w:val="left" w:pos="720"/>
        </w:tabs>
        <w:spacing w:after="60"/>
        <w:ind w:left="397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I</w:t>
      </w:r>
      <w:r w:rsidR="000964FA" w:rsidRPr="00E068DF">
        <w:rPr>
          <w:rFonts w:ascii="Calibri" w:hAnsi="Calibri" w:cs="Arial"/>
          <w:color w:val="002060"/>
          <w:sz w:val="20"/>
        </w:rPr>
        <w:t>nformatique-bureautique,</w:t>
      </w:r>
    </w:p>
    <w:p w:rsidR="000964FA" w:rsidRPr="00E068DF" w:rsidRDefault="00E068DF" w:rsidP="00E068DF">
      <w:pPr>
        <w:pStyle w:val="Paragraphedeliste"/>
        <w:numPr>
          <w:ilvl w:val="1"/>
          <w:numId w:val="3"/>
        </w:numPr>
        <w:tabs>
          <w:tab w:val="left" w:pos="720"/>
        </w:tabs>
        <w:spacing w:after="60"/>
        <w:ind w:left="397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E</w:t>
      </w:r>
      <w:r w:rsidR="000964FA" w:rsidRPr="00E068DF">
        <w:rPr>
          <w:rFonts w:ascii="Calibri" w:hAnsi="Calibri" w:cs="Arial"/>
          <w:color w:val="002060"/>
          <w:sz w:val="20"/>
        </w:rPr>
        <w:t>tc.</w:t>
      </w:r>
    </w:p>
    <w:p w:rsidR="000964FA" w:rsidRDefault="000964FA" w:rsidP="000964FA">
      <w:pPr>
        <w:pStyle w:val="Paragraphedeliste"/>
        <w:numPr>
          <w:ilvl w:val="0"/>
          <w:numId w:val="3"/>
        </w:numPr>
        <w:tabs>
          <w:tab w:val="left" w:pos="720"/>
        </w:tabs>
        <w:spacing w:after="120"/>
        <w:ind w:left="170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 w:rsidRPr="000964FA">
        <w:rPr>
          <w:rFonts w:ascii="Calibri" w:hAnsi="Calibri" w:cs="Arial"/>
          <w:color w:val="002060"/>
          <w:sz w:val="20"/>
        </w:rPr>
        <w:t>Le budget masse salariale qui englobe les charges de personnel ainsi que la charge d’intérim.</w:t>
      </w:r>
    </w:p>
    <w:p w:rsidR="000964FA" w:rsidRDefault="000964FA" w:rsidP="000964FA">
      <w:pPr>
        <w:pStyle w:val="Paragraphedeliste"/>
        <w:numPr>
          <w:ilvl w:val="0"/>
          <w:numId w:val="3"/>
        </w:numPr>
        <w:tabs>
          <w:tab w:val="left" w:pos="720"/>
        </w:tabs>
        <w:spacing w:after="120"/>
        <w:ind w:left="170" w:hanging="170"/>
        <w:contextualSpacing w:val="0"/>
        <w:jc w:val="both"/>
        <w:rPr>
          <w:rFonts w:ascii="Calibri" w:hAnsi="Calibri" w:cs="Arial"/>
          <w:color w:val="002060"/>
          <w:sz w:val="20"/>
        </w:rPr>
      </w:pPr>
      <w:r w:rsidRPr="000964FA">
        <w:rPr>
          <w:rFonts w:ascii="Calibri" w:hAnsi="Calibri" w:cs="Arial"/>
          <w:color w:val="002060"/>
          <w:sz w:val="20"/>
        </w:rPr>
        <w:t>Le budget des frais généraux</w:t>
      </w:r>
    </w:p>
    <w:tbl>
      <w:tblPr>
        <w:tblStyle w:val="Grilledutableau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0194"/>
      </w:tblGrid>
      <w:tr w:rsidR="00E068DF" w:rsidTr="00E068DF">
        <w:tc>
          <w:tcPr>
            <w:tcW w:w="10194" w:type="dxa"/>
            <w:shd w:val="clear" w:color="auto" w:fill="FFFFCC"/>
          </w:tcPr>
          <w:p w:rsidR="00E068DF" w:rsidRDefault="00E068DF" w:rsidP="00E279C2">
            <w:pPr>
              <w:shd w:val="clear" w:color="auto" w:fill="FFFFCC"/>
              <w:tabs>
                <w:tab w:val="left" w:pos="720"/>
              </w:tabs>
              <w:spacing w:before="60" w:after="60"/>
              <w:ind w:left="170" w:right="170"/>
              <w:jc w:val="both"/>
              <w:rPr>
                <w:rFonts w:ascii="Calibri" w:hAnsi="Calibri" w:cs="Arial"/>
                <w:color w:val="002060"/>
                <w:sz w:val="20"/>
              </w:rPr>
            </w:pPr>
            <w:r w:rsidRPr="00EC1647">
              <w:rPr>
                <w:rFonts w:ascii="Calibri" w:hAnsi="Calibri" w:cs="Arial"/>
                <w:color w:val="002060"/>
                <w:sz w:val="20"/>
              </w:rPr>
              <w:t xml:space="preserve">Chaque budget doit être établi dans un souci </w:t>
            </w:r>
            <w:r w:rsidRPr="00E068DF">
              <w:rPr>
                <w:rFonts w:ascii="Calibri" w:hAnsi="Calibri" w:cs="Arial"/>
                <w:b/>
                <w:color w:val="002060"/>
                <w:sz w:val="20"/>
              </w:rPr>
              <w:t>d’efficience et d’efficacité</w:t>
            </w:r>
            <w:r w:rsidRPr="00EC1647">
              <w:rPr>
                <w:rFonts w:ascii="Calibri" w:hAnsi="Calibri" w:cs="Arial"/>
                <w:color w:val="002060"/>
                <w:sz w:val="20"/>
              </w:rPr>
              <w:t>. Il implique pour chacun des responsables des objectifs à atteindre.</w:t>
            </w:r>
            <w:r>
              <w:rPr>
                <w:rFonts w:ascii="Calibri" w:hAnsi="Calibri" w:cs="Arial"/>
                <w:color w:val="002060"/>
                <w:sz w:val="20"/>
              </w:rPr>
              <w:t xml:space="preserve"> </w:t>
            </w:r>
            <w:r w:rsidRPr="00EC1647">
              <w:rPr>
                <w:rFonts w:ascii="Calibri" w:hAnsi="Calibri" w:cs="Arial"/>
                <w:color w:val="002060"/>
                <w:sz w:val="20"/>
              </w:rPr>
              <w:t>Son élaboration doit être guidée par le souci constant de recherche de la performance et que toute dépense doit se justifier</w:t>
            </w:r>
            <w:r>
              <w:rPr>
                <w:rFonts w:ascii="Calibri" w:hAnsi="Calibri" w:cs="Arial"/>
                <w:color w:val="002060"/>
                <w:sz w:val="20"/>
              </w:rPr>
              <w:t>.</w:t>
            </w:r>
          </w:p>
        </w:tc>
      </w:tr>
    </w:tbl>
    <w:p w:rsidR="005F0A6A" w:rsidRPr="005F0A6A" w:rsidRDefault="005F0A6A" w:rsidP="00E068DF">
      <w:pPr>
        <w:tabs>
          <w:tab w:val="left" w:pos="720"/>
        </w:tabs>
        <w:spacing w:before="120" w:after="60"/>
        <w:jc w:val="both"/>
        <w:rPr>
          <w:rFonts w:ascii="Calibri" w:hAnsi="Calibri" w:cs="Arial"/>
          <w:b/>
          <w:color w:val="002060"/>
          <w:sz w:val="20"/>
        </w:rPr>
      </w:pPr>
      <w:r w:rsidRPr="005F0A6A">
        <w:rPr>
          <w:rFonts w:ascii="Calibri" w:hAnsi="Calibri"/>
          <w:b/>
          <w:noProof/>
          <w:color w:val="002060"/>
          <w:sz w:val="20"/>
          <w:szCs w:val="20"/>
        </w:rPr>
        <w:drawing>
          <wp:inline distT="0" distB="0" distL="0" distR="0" wp14:anchorId="7E860E67" wp14:editId="77E37DD3">
            <wp:extent cx="114300" cy="95250"/>
            <wp:effectExtent l="0" t="0" r="0" b="0"/>
            <wp:docPr id="4" name="Image 4" descr="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iang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A6A">
        <w:rPr>
          <w:rFonts w:ascii="Calibri" w:hAnsi="Calibri" w:cs="Arial"/>
          <w:b/>
          <w:color w:val="002060"/>
          <w:sz w:val="20"/>
        </w:rPr>
        <w:t xml:space="preserve"> </w:t>
      </w:r>
      <w:r w:rsidR="00906A9F">
        <w:rPr>
          <w:rFonts w:ascii="Calibri" w:hAnsi="Calibri" w:cs="Arial"/>
          <w:b/>
          <w:color w:val="002060"/>
          <w:sz w:val="20"/>
        </w:rPr>
        <w:t xml:space="preserve">Articulation </w:t>
      </w:r>
      <w:r w:rsidRPr="005F0A6A">
        <w:rPr>
          <w:rFonts w:ascii="Calibri" w:hAnsi="Calibri" w:cs="Arial"/>
          <w:b/>
          <w:color w:val="002060"/>
          <w:sz w:val="20"/>
        </w:rPr>
        <w:t>d</w:t>
      </w:r>
      <w:r w:rsidR="00906A9F">
        <w:rPr>
          <w:rFonts w:ascii="Calibri" w:hAnsi="Calibri" w:cs="Arial"/>
          <w:b/>
          <w:color w:val="002060"/>
          <w:sz w:val="20"/>
        </w:rPr>
        <w:t>es</w:t>
      </w:r>
      <w:r w:rsidRPr="005F0A6A">
        <w:rPr>
          <w:rFonts w:ascii="Calibri" w:hAnsi="Calibri" w:cs="Arial"/>
          <w:b/>
          <w:color w:val="002060"/>
          <w:sz w:val="20"/>
        </w:rPr>
        <w:t xml:space="preserve"> budget</w:t>
      </w:r>
      <w:r w:rsidR="00906A9F">
        <w:rPr>
          <w:rFonts w:ascii="Calibri" w:hAnsi="Calibri" w:cs="Arial"/>
          <w:b/>
          <w:color w:val="002060"/>
          <w:sz w:val="20"/>
        </w:rPr>
        <w:t>s</w:t>
      </w:r>
    </w:p>
    <w:p w:rsidR="000C3B72" w:rsidRPr="00F1364A" w:rsidRDefault="005C48E4" w:rsidP="00B54F1B">
      <w:pPr>
        <w:tabs>
          <w:tab w:val="left" w:pos="720"/>
        </w:tabs>
        <w:spacing w:after="240"/>
        <w:ind w:left="170"/>
        <w:jc w:val="both"/>
        <w:rPr>
          <w:rFonts w:ascii="Calibri" w:hAnsi="Calibri" w:cs="Arial"/>
          <w:color w:val="002060"/>
          <w:sz w:val="20"/>
        </w:rPr>
      </w:pPr>
      <w:r w:rsidRPr="005C48E4">
        <w:rPr>
          <w:noProof/>
        </w:rPr>
        <w:drawing>
          <wp:inline distT="0" distB="0" distL="0" distR="0">
            <wp:extent cx="6377780" cy="2967990"/>
            <wp:effectExtent l="19050" t="19050" r="23495" b="2286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436" cy="29734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68DF" w:rsidRDefault="00E068DF" w:rsidP="00E11936">
      <w:pPr>
        <w:tabs>
          <w:tab w:val="left" w:pos="720"/>
        </w:tabs>
        <w:spacing w:after="60"/>
        <w:jc w:val="both"/>
        <w:rPr>
          <w:rFonts w:ascii="Calibri" w:hAnsi="Calibri"/>
          <w:b/>
          <w:color w:val="002060"/>
        </w:rPr>
      </w:pPr>
    </w:p>
    <w:p w:rsidR="00E11936" w:rsidRPr="00903DAA" w:rsidRDefault="00E11936" w:rsidP="00903DAA">
      <w:pPr>
        <w:tabs>
          <w:tab w:val="left" w:pos="720"/>
        </w:tabs>
        <w:spacing w:after="120"/>
        <w:jc w:val="both"/>
        <w:rPr>
          <w:rFonts w:ascii="Calibri" w:hAnsi="Calibri" w:cs="Arial"/>
          <w:b/>
          <w:color w:val="002060"/>
          <w:sz w:val="21"/>
          <w:szCs w:val="21"/>
        </w:rPr>
      </w:pPr>
      <w:r w:rsidRPr="00903DAA">
        <w:rPr>
          <w:rFonts w:ascii="Calibri" w:hAnsi="Calibri"/>
          <w:b/>
          <w:color w:val="002060"/>
          <w:sz w:val="21"/>
          <w:szCs w:val="21"/>
        </w:rPr>
        <w:lastRenderedPageBreak/>
        <w:t xml:space="preserve">III </w:t>
      </w:r>
      <w:r w:rsidRPr="00903DAA">
        <w:rPr>
          <w:rFonts w:ascii="Calibri" w:hAnsi="Calibri" w:cs="Arial"/>
          <w:b/>
          <w:color w:val="002060"/>
          <w:sz w:val="21"/>
          <w:szCs w:val="21"/>
        </w:rPr>
        <w:t>- le contrôle budgétaire</w:t>
      </w:r>
    </w:p>
    <w:tbl>
      <w:tblPr>
        <w:tblStyle w:val="Grilledutableau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0194"/>
      </w:tblGrid>
      <w:tr w:rsidR="00935F7B" w:rsidTr="00935F7B">
        <w:tc>
          <w:tcPr>
            <w:tcW w:w="10194" w:type="dxa"/>
            <w:shd w:val="clear" w:color="auto" w:fill="FFFFCC"/>
          </w:tcPr>
          <w:p w:rsidR="00935F7B" w:rsidRPr="00935F7B" w:rsidRDefault="00935F7B" w:rsidP="00E279C2">
            <w:pPr>
              <w:shd w:val="clear" w:color="auto" w:fill="FFFFCC"/>
              <w:tabs>
                <w:tab w:val="left" w:pos="720"/>
              </w:tabs>
              <w:spacing w:before="60" w:after="60"/>
              <w:ind w:left="170" w:right="170"/>
              <w:jc w:val="both"/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 w:rsidRPr="00E11936">
              <w:rPr>
                <w:rFonts w:ascii="Calibri" w:hAnsi="Calibri" w:cs="Arial"/>
                <w:b/>
                <w:bCs/>
                <w:color w:val="002060"/>
                <w:sz w:val="20"/>
                <w:shd w:val="clear" w:color="auto" w:fill="FFFFCC"/>
              </w:rPr>
              <w:t>L’objectif du contrôle est la maîtrise et le suivi des coûts et des marges. Il doit permettre également de vérifier que les objectifs sont tenus</w:t>
            </w:r>
            <w:r w:rsidRPr="000F05F3">
              <w:rPr>
                <w:rFonts w:ascii="Calibri" w:hAnsi="Calibri" w:cs="Arial"/>
                <w:b/>
                <w:bCs/>
                <w:color w:val="002060"/>
                <w:sz w:val="22"/>
                <w:shd w:val="clear" w:color="auto" w:fill="FFFFCC"/>
              </w:rPr>
              <w:t>.</w:t>
            </w:r>
          </w:p>
        </w:tc>
      </w:tr>
    </w:tbl>
    <w:p w:rsidR="00E11936" w:rsidRDefault="00E11936" w:rsidP="00935F7B">
      <w:pPr>
        <w:tabs>
          <w:tab w:val="left" w:pos="720"/>
        </w:tabs>
        <w:spacing w:before="120" w:after="120"/>
        <w:jc w:val="both"/>
        <w:rPr>
          <w:rFonts w:ascii="Calibri" w:hAnsi="Calibri" w:cs="Arial"/>
          <w:color w:val="002060"/>
          <w:sz w:val="20"/>
        </w:rPr>
      </w:pPr>
      <w:r w:rsidRPr="000F05F3">
        <w:rPr>
          <w:rFonts w:ascii="Calibri" w:hAnsi="Calibri" w:cs="Arial"/>
          <w:color w:val="002060"/>
          <w:sz w:val="20"/>
        </w:rPr>
        <w:t>Le contrôle budgétaire consiste à examiner périodiquement et régulièrement les réalisations au regard des prévisions. Elle doit permettre des décisions opportunes lorsque des écarts significatifs sont décelés.</w:t>
      </w:r>
    </w:p>
    <w:p w:rsidR="00E46010" w:rsidRPr="00903DAA" w:rsidRDefault="008C34B0" w:rsidP="00E11936">
      <w:pPr>
        <w:tabs>
          <w:tab w:val="left" w:pos="720"/>
        </w:tabs>
        <w:spacing w:after="120"/>
        <w:jc w:val="both"/>
        <w:rPr>
          <w:rFonts w:ascii="Calibri" w:hAnsi="Calibri" w:cs="Arial"/>
          <w:b/>
          <w:color w:val="002060"/>
          <w:sz w:val="20"/>
        </w:rPr>
      </w:pPr>
      <w:bookmarkStart w:id="0" w:name="_GoBack"/>
      <w:r w:rsidRPr="00903DAA">
        <w:rPr>
          <w:rFonts w:ascii="Calibri" w:hAnsi="Calibri" w:cs="Arial"/>
          <w:b/>
          <w:color w:val="002060"/>
          <w:sz w:val="20"/>
        </w:rPr>
        <w:t>Annexe 1 : construction d’un budget</w:t>
      </w:r>
    </w:p>
    <w:bookmarkEnd w:id="0"/>
    <w:p w:rsidR="00E46010" w:rsidRDefault="00E46010" w:rsidP="008C34B0">
      <w:pPr>
        <w:tabs>
          <w:tab w:val="left" w:pos="720"/>
        </w:tabs>
        <w:spacing w:after="240"/>
        <w:jc w:val="center"/>
        <w:rPr>
          <w:rFonts w:ascii="Calibri" w:hAnsi="Calibri" w:cs="Arial"/>
          <w:color w:val="002060"/>
          <w:sz w:val="20"/>
        </w:rPr>
      </w:pPr>
      <w:r w:rsidRPr="00E46010">
        <w:rPr>
          <w:noProof/>
        </w:rPr>
        <w:drawing>
          <wp:inline distT="0" distB="0" distL="0" distR="0">
            <wp:extent cx="6343902" cy="2457450"/>
            <wp:effectExtent l="19050" t="19050" r="19050" b="1905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343" cy="24645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C34B0" w:rsidRPr="00903DAA" w:rsidRDefault="00906A9F" w:rsidP="008C34B0">
      <w:pPr>
        <w:tabs>
          <w:tab w:val="left" w:pos="720"/>
        </w:tabs>
        <w:spacing w:after="120"/>
        <w:jc w:val="both"/>
        <w:rPr>
          <w:rFonts w:ascii="Calibri" w:hAnsi="Calibri" w:cs="Arial"/>
          <w:b/>
          <w:color w:val="002060"/>
          <w:sz w:val="20"/>
        </w:rPr>
      </w:pPr>
      <w:r w:rsidRPr="00903DAA">
        <w:rPr>
          <w:rFonts w:ascii="Calibri" w:hAnsi="Calibri" w:cs="Arial"/>
          <w:b/>
          <w:color w:val="002060"/>
          <w:sz w:val="20"/>
        </w:rPr>
        <w:t>Annexe 2 : schéma général</w:t>
      </w:r>
    </w:p>
    <w:p w:rsidR="00E11936" w:rsidRPr="00EC1647" w:rsidRDefault="00D323F1" w:rsidP="00D323F1">
      <w:pPr>
        <w:tabs>
          <w:tab w:val="left" w:pos="720"/>
        </w:tabs>
        <w:spacing w:after="120"/>
        <w:jc w:val="center"/>
        <w:rPr>
          <w:rFonts w:ascii="Calibri" w:hAnsi="Calibri" w:cs="Arial"/>
          <w:color w:val="002060"/>
          <w:sz w:val="20"/>
        </w:rPr>
      </w:pPr>
      <w:r>
        <w:rPr>
          <w:noProof/>
        </w:rPr>
        <w:drawing>
          <wp:inline distT="0" distB="0" distL="0" distR="0" wp14:anchorId="14C35CFD" wp14:editId="4A5E04F2">
            <wp:extent cx="6313170" cy="4675759"/>
            <wp:effectExtent l="19050" t="19050" r="11430" b="107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2051" t="24607" r="25029" b="4419"/>
                    <a:stretch/>
                  </pic:blipFill>
                  <pic:spPr bwMode="auto">
                    <a:xfrm>
                      <a:off x="0" y="0"/>
                      <a:ext cx="6394602" cy="473607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1936" w:rsidRPr="00EC1647" w:rsidSect="009A7E05">
      <w:footerReference w:type="default" r:id="rId13"/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83" w:rsidRDefault="00252883">
      <w:r>
        <w:separator/>
      </w:r>
    </w:p>
  </w:endnote>
  <w:endnote w:type="continuationSeparator" w:id="0">
    <w:p w:rsidR="00252883" w:rsidRDefault="0025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E67" w:rsidRPr="00BF7E67" w:rsidRDefault="00BF7E67" w:rsidP="00BF7E67">
    <w:pPr>
      <w:pStyle w:val="Pieddepag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83" w:rsidRDefault="00252883">
      <w:r>
        <w:separator/>
      </w:r>
    </w:p>
  </w:footnote>
  <w:footnote w:type="continuationSeparator" w:id="0">
    <w:p w:rsidR="00252883" w:rsidRDefault="0025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6" type="#_x0000_t75" alt="triangle" style="width:9pt;height:7.5pt;visibility:visible;mso-wrap-style:square" o:bullet="t">
        <v:imagedata r:id="rId1" o:title="triangle"/>
      </v:shape>
    </w:pict>
  </w:numPicBullet>
  <w:abstractNum w:abstractNumId="0" w15:restartNumberingAfterBreak="0">
    <w:nsid w:val="41201A83"/>
    <w:multiLevelType w:val="hybridMultilevel"/>
    <w:tmpl w:val="605C3A9E"/>
    <w:lvl w:ilvl="0" w:tplc="D984425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1A1"/>
    <w:multiLevelType w:val="hybridMultilevel"/>
    <w:tmpl w:val="0EB827A4"/>
    <w:lvl w:ilvl="0" w:tplc="7902E3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70625"/>
    <w:multiLevelType w:val="hybridMultilevel"/>
    <w:tmpl w:val="549C51B2"/>
    <w:lvl w:ilvl="0" w:tplc="AC76A6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07"/>
    <w:rsid w:val="00022C08"/>
    <w:rsid w:val="00031FB2"/>
    <w:rsid w:val="00062E33"/>
    <w:rsid w:val="000964FA"/>
    <w:rsid w:val="000C3B72"/>
    <w:rsid w:val="000F32B6"/>
    <w:rsid w:val="001978B3"/>
    <w:rsid w:val="00252883"/>
    <w:rsid w:val="002B1135"/>
    <w:rsid w:val="002B6308"/>
    <w:rsid w:val="003A74ED"/>
    <w:rsid w:val="004F3263"/>
    <w:rsid w:val="0051560C"/>
    <w:rsid w:val="005731F5"/>
    <w:rsid w:val="005750B6"/>
    <w:rsid w:val="0059695A"/>
    <w:rsid w:val="005C2B07"/>
    <w:rsid w:val="005C48E4"/>
    <w:rsid w:val="005F0A6A"/>
    <w:rsid w:val="005F1EEA"/>
    <w:rsid w:val="00691A19"/>
    <w:rsid w:val="00796A1A"/>
    <w:rsid w:val="007C3168"/>
    <w:rsid w:val="00844756"/>
    <w:rsid w:val="00847C62"/>
    <w:rsid w:val="00875036"/>
    <w:rsid w:val="008C34B0"/>
    <w:rsid w:val="00903DAA"/>
    <w:rsid w:val="00906A9F"/>
    <w:rsid w:val="00935F7B"/>
    <w:rsid w:val="00962864"/>
    <w:rsid w:val="009700AE"/>
    <w:rsid w:val="009A7E05"/>
    <w:rsid w:val="00A45E1C"/>
    <w:rsid w:val="00AB216E"/>
    <w:rsid w:val="00AD4065"/>
    <w:rsid w:val="00B35DBE"/>
    <w:rsid w:val="00B54F1B"/>
    <w:rsid w:val="00BB121A"/>
    <w:rsid w:val="00BB1C2E"/>
    <w:rsid w:val="00BB57DE"/>
    <w:rsid w:val="00BB6CE4"/>
    <w:rsid w:val="00BF7E67"/>
    <w:rsid w:val="00C355E3"/>
    <w:rsid w:val="00CC74AA"/>
    <w:rsid w:val="00CE3DDA"/>
    <w:rsid w:val="00D31812"/>
    <w:rsid w:val="00D323F1"/>
    <w:rsid w:val="00D33C4F"/>
    <w:rsid w:val="00E068DF"/>
    <w:rsid w:val="00E11167"/>
    <w:rsid w:val="00E11936"/>
    <w:rsid w:val="00E124B4"/>
    <w:rsid w:val="00E12789"/>
    <w:rsid w:val="00E26093"/>
    <w:rsid w:val="00E279C2"/>
    <w:rsid w:val="00E46010"/>
    <w:rsid w:val="00E46869"/>
    <w:rsid w:val="00EA581E"/>
    <w:rsid w:val="00EC1647"/>
    <w:rsid w:val="00EF18AC"/>
    <w:rsid w:val="00F1364A"/>
    <w:rsid w:val="00F52769"/>
    <w:rsid w:val="00F54702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41E183C-F75C-4AA4-A4D1-F8ABFB55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F7E6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F7E67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A7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1647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E26093"/>
    <w:rPr>
      <w:sz w:val="24"/>
      <w:szCs w:val="24"/>
    </w:rPr>
  </w:style>
  <w:style w:type="paragraph" w:styleId="Textedebulles">
    <w:name w:val="Balloon Text"/>
    <w:basedOn w:val="Normal"/>
    <w:link w:val="TextedebullesCar"/>
    <w:rsid w:val="00847C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47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656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GESTION BUDGETAIRE</vt:lpstr>
    </vt:vector>
  </TitlesOfParts>
  <Company> 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GESTION BUDGETAIRE</dc:title>
  <dc:subject/>
  <dc:creator>thv</dc:creator>
  <cp:keywords/>
  <dc:description/>
  <cp:lastModifiedBy>Utilisateur Windows</cp:lastModifiedBy>
  <cp:revision>32</cp:revision>
  <cp:lastPrinted>2018-03-27T13:11:00Z</cp:lastPrinted>
  <dcterms:created xsi:type="dcterms:W3CDTF">2018-03-20T18:38:00Z</dcterms:created>
  <dcterms:modified xsi:type="dcterms:W3CDTF">2019-09-04T14:00:00Z</dcterms:modified>
</cp:coreProperties>
</file>