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15" w:type="dxa"/>
        <w:tblCellMar>
          <w:top w:w="375" w:type="dxa"/>
          <w:left w:w="15" w:type="dxa"/>
          <w:bottom w:w="375" w:type="dxa"/>
          <w:right w:w="15" w:type="dxa"/>
        </w:tblCellMar>
        <w:tblLook w:val="04A0" w:firstRow="1" w:lastRow="0" w:firstColumn="1" w:lastColumn="0" w:noHBand="0" w:noVBand="1"/>
      </w:tblPr>
      <w:tblGrid>
        <w:gridCol w:w="10204"/>
      </w:tblGrid>
      <w:tr w:rsidR="008E6FA7" w:rsidRPr="008E6FA7" w:rsidTr="00E724F2">
        <w:trPr>
          <w:tblCellSpacing w:w="15" w:type="dxa"/>
        </w:trPr>
        <w:tc>
          <w:tcPr>
            <w:tcW w:w="0" w:type="auto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7430E" w:rsidRPr="00507B65" w:rsidRDefault="0037430E" w:rsidP="00507B65">
            <w:pPr>
              <w:pBdr>
                <w:top w:val="single" w:sz="4" w:space="1" w:color="808080" w:themeColor="background1" w:themeShade="80"/>
                <w:left w:val="single" w:sz="4" w:space="4" w:color="808080" w:themeColor="background1" w:themeShade="80"/>
                <w:bottom w:val="single" w:sz="4" w:space="1" w:color="808080" w:themeColor="background1" w:themeShade="80"/>
                <w:right w:val="single" w:sz="4" w:space="4" w:color="808080" w:themeColor="background1" w:themeShade="80"/>
              </w:pBdr>
              <w:shd w:val="clear" w:color="auto" w:fill="808080" w:themeFill="background1" w:themeFillShade="80"/>
              <w:spacing w:before="120" w:after="120" w:line="240" w:lineRule="auto"/>
              <w:jc w:val="center"/>
              <w:outlineLvl w:val="2"/>
              <w:rPr>
                <w:rFonts w:ascii="Calibri" w:eastAsia="Times New Roman" w:hAnsi="Calibri" w:cs="Arial"/>
                <w:b/>
                <w:bCs/>
                <w:color w:val="FFFFFF" w:themeColor="background1"/>
                <w:sz w:val="26"/>
                <w:szCs w:val="26"/>
                <w:lang w:eastAsia="fr-FR"/>
              </w:rPr>
            </w:pPr>
            <w:r w:rsidRPr="00507B65">
              <w:rPr>
                <w:rFonts w:ascii="Calibri" w:eastAsia="Times New Roman" w:hAnsi="Calibri" w:cs="Arial"/>
                <w:b/>
                <w:bCs/>
                <w:color w:val="FFFFFF" w:themeColor="background1"/>
                <w:sz w:val="26"/>
                <w:szCs w:val="26"/>
                <w:lang w:eastAsia="fr-FR"/>
              </w:rPr>
              <w:t>Les indicateurs de pilotage</w:t>
            </w:r>
            <w:r w:rsidR="00507B65" w:rsidRPr="00507B65">
              <w:rPr>
                <w:rFonts w:ascii="Calibri" w:eastAsia="Times New Roman" w:hAnsi="Calibri" w:cs="Arial"/>
                <w:b/>
                <w:bCs/>
                <w:color w:val="FFFFFF" w:themeColor="background1"/>
                <w:sz w:val="26"/>
                <w:szCs w:val="26"/>
                <w:lang w:eastAsia="fr-FR"/>
              </w:rPr>
              <w:t xml:space="preserve"> du crédit-management</w:t>
            </w:r>
          </w:p>
          <w:p w:rsidR="0037430E" w:rsidRPr="00507B65" w:rsidRDefault="00507B65" w:rsidP="00507B65">
            <w:pPr>
              <w:pStyle w:val="Paragraphedeliste"/>
              <w:numPr>
                <w:ilvl w:val="0"/>
                <w:numId w:val="1"/>
              </w:numPr>
              <w:spacing w:after="60" w:line="240" w:lineRule="auto"/>
              <w:ind w:left="170" w:hanging="170"/>
              <w:jc w:val="both"/>
              <w:outlineLvl w:val="5"/>
              <w:rPr>
                <w:rFonts w:ascii="Calibri" w:eastAsia="Times New Roman" w:hAnsi="Calibri" w:cs="Tahoma"/>
                <w:b/>
                <w:bCs/>
                <w:color w:val="002060"/>
                <w:sz w:val="24"/>
                <w:szCs w:val="25"/>
                <w:lang w:eastAsia="fr-FR"/>
              </w:rPr>
            </w:pPr>
            <w:bookmarkStart w:id="0" w:name="s16"/>
            <w:bookmarkEnd w:id="0"/>
            <w:r>
              <w:rPr>
                <w:rFonts w:ascii="Calibri" w:eastAsia="Times New Roman" w:hAnsi="Calibri" w:cs="Tahoma"/>
                <w:b/>
                <w:bCs/>
                <w:color w:val="002060"/>
                <w:sz w:val="24"/>
                <w:szCs w:val="25"/>
                <w:lang w:eastAsia="fr-FR"/>
              </w:rPr>
              <w:t xml:space="preserve">Le </w:t>
            </w:r>
            <w:r w:rsidR="0037430E" w:rsidRPr="00507B65">
              <w:rPr>
                <w:rFonts w:ascii="Calibri" w:eastAsia="Times New Roman" w:hAnsi="Calibri" w:cs="Tahoma"/>
                <w:b/>
                <w:bCs/>
                <w:color w:val="002060"/>
                <w:sz w:val="24"/>
                <w:szCs w:val="25"/>
                <w:lang w:eastAsia="fr-FR"/>
              </w:rPr>
              <w:t xml:space="preserve">DSO </w:t>
            </w:r>
          </w:p>
          <w:p w:rsidR="0037430E" w:rsidRPr="008E6FA7" w:rsidRDefault="0037430E" w:rsidP="0037430E">
            <w:pPr>
              <w:spacing w:after="60" w:line="240" w:lineRule="auto"/>
              <w:jc w:val="both"/>
              <w:rPr>
                <w:rFonts w:ascii="Calibri" w:eastAsia="Times New Roman" w:hAnsi="Calibri" w:cs="Tahoma"/>
                <w:color w:val="002060"/>
                <w:lang w:eastAsia="fr-FR"/>
              </w:rPr>
            </w:pPr>
            <w:r w:rsidRPr="008E6FA7">
              <w:rPr>
                <w:rFonts w:ascii="Calibri" w:eastAsia="Times New Roman" w:hAnsi="Calibri" w:cs="Tahoma"/>
                <w:color w:val="002060"/>
                <w:lang w:eastAsia="fr-FR"/>
              </w:rPr>
              <w:t xml:space="preserve">Le </w:t>
            </w:r>
            <w:proofErr w:type="spellStart"/>
            <w:r w:rsidRPr="008E6FA7">
              <w:rPr>
                <w:rFonts w:ascii="Calibri" w:eastAsia="Times New Roman" w:hAnsi="Calibri" w:cs="Tahoma"/>
                <w:color w:val="002060"/>
                <w:lang w:eastAsia="fr-FR"/>
              </w:rPr>
              <w:t>Days</w:t>
            </w:r>
            <w:proofErr w:type="spellEnd"/>
            <w:r w:rsidRPr="008E6FA7">
              <w:rPr>
                <w:rFonts w:ascii="Calibri" w:eastAsia="Times New Roman" w:hAnsi="Calibri" w:cs="Tahoma"/>
                <w:color w:val="002060"/>
                <w:lang w:eastAsia="fr-FR"/>
              </w:rPr>
              <w:t xml:space="preserve"> Sales </w:t>
            </w:r>
            <w:proofErr w:type="spellStart"/>
            <w:r w:rsidRPr="008E6FA7">
              <w:rPr>
                <w:rFonts w:ascii="Calibri" w:eastAsia="Times New Roman" w:hAnsi="Calibri" w:cs="Tahoma"/>
                <w:color w:val="002060"/>
                <w:lang w:eastAsia="fr-FR"/>
              </w:rPr>
              <w:t>Outstanding</w:t>
            </w:r>
            <w:proofErr w:type="spellEnd"/>
            <w:r w:rsidRPr="008E6FA7">
              <w:rPr>
                <w:rFonts w:ascii="Calibri" w:eastAsia="Times New Roman" w:hAnsi="Calibri" w:cs="Tahoma"/>
                <w:color w:val="002060"/>
                <w:lang w:eastAsia="fr-FR"/>
              </w:rPr>
              <w:t xml:space="preserve"> (DSO) ou plus simplement le nombre de jours de chiffre d'affaires immobilisé dans le poste clients est un indicateur de performance de la gestion du poste clients.</w:t>
            </w:r>
          </w:p>
          <w:p w:rsidR="0037430E" w:rsidRPr="008E6FA7" w:rsidRDefault="0037430E" w:rsidP="0037430E">
            <w:pPr>
              <w:spacing w:after="60" w:line="240" w:lineRule="auto"/>
              <w:jc w:val="both"/>
              <w:rPr>
                <w:rFonts w:ascii="Calibri" w:eastAsia="Times New Roman" w:hAnsi="Calibri" w:cs="Tahoma"/>
                <w:color w:val="002060"/>
                <w:lang w:eastAsia="fr-FR"/>
              </w:rPr>
            </w:pPr>
            <w:r w:rsidRPr="008E6FA7">
              <w:rPr>
                <w:rFonts w:ascii="Calibri" w:eastAsia="Times New Roman" w:hAnsi="Calibri" w:cs="Tahoma"/>
                <w:color w:val="002060"/>
                <w:lang w:eastAsia="fr-FR"/>
              </w:rPr>
              <w:t>Il reste un indicateur phare dans le négoce et les services mais est, en revanche, moins prisé que par le passé dans le secteur de l'industrie : il est utilisé par 63 % des entreprises industrielles, 83 % des entreprises du négoce et de la distribution et 79 % des entreprises de services.</w:t>
            </w:r>
          </w:p>
          <w:p w:rsidR="0037430E" w:rsidRPr="00507B65" w:rsidRDefault="0037430E" w:rsidP="00507B65">
            <w:pPr>
              <w:pStyle w:val="Paragraphedeliste"/>
              <w:numPr>
                <w:ilvl w:val="0"/>
                <w:numId w:val="1"/>
              </w:numPr>
              <w:spacing w:after="60" w:line="240" w:lineRule="auto"/>
              <w:ind w:left="170" w:hanging="170"/>
              <w:jc w:val="both"/>
              <w:outlineLvl w:val="5"/>
              <w:rPr>
                <w:rFonts w:ascii="Calibri" w:eastAsia="Times New Roman" w:hAnsi="Calibri" w:cs="Tahoma"/>
                <w:b/>
                <w:bCs/>
                <w:color w:val="002060"/>
                <w:sz w:val="24"/>
                <w:szCs w:val="25"/>
                <w:lang w:eastAsia="fr-FR"/>
              </w:rPr>
            </w:pPr>
            <w:bookmarkStart w:id="1" w:name="s17"/>
            <w:bookmarkEnd w:id="1"/>
            <w:r w:rsidRPr="00507B65">
              <w:rPr>
                <w:rFonts w:ascii="Calibri" w:eastAsia="Times New Roman" w:hAnsi="Calibri" w:cs="Tahoma"/>
                <w:b/>
                <w:bCs/>
                <w:color w:val="002060"/>
                <w:sz w:val="24"/>
                <w:szCs w:val="25"/>
                <w:lang w:eastAsia="fr-FR"/>
              </w:rPr>
              <w:t>Le taux d'échus</w:t>
            </w:r>
          </w:p>
          <w:p w:rsidR="0037430E" w:rsidRPr="008E6FA7" w:rsidRDefault="0037430E" w:rsidP="0037430E">
            <w:pPr>
              <w:spacing w:after="60" w:line="240" w:lineRule="auto"/>
              <w:jc w:val="both"/>
              <w:rPr>
                <w:rFonts w:ascii="Calibri" w:eastAsia="Times New Roman" w:hAnsi="Calibri" w:cs="Tahoma"/>
                <w:color w:val="002060"/>
                <w:lang w:eastAsia="fr-FR"/>
              </w:rPr>
            </w:pPr>
            <w:r w:rsidRPr="008E6FA7">
              <w:rPr>
                <w:rFonts w:ascii="Calibri" w:eastAsia="Times New Roman" w:hAnsi="Calibri" w:cs="Tahoma"/>
                <w:color w:val="002060"/>
                <w:lang w:eastAsia="fr-FR"/>
              </w:rPr>
              <w:t xml:space="preserve">Cet indicateur de pilotage du </w:t>
            </w:r>
            <w:r w:rsidR="00D55D4D" w:rsidRPr="008E6FA7">
              <w:rPr>
                <w:rFonts w:ascii="Calibri" w:eastAsia="Times New Roman" w:hAnsi="Calibri" w:cs="Tahoma"/>
                <w:color w:val="002060"/>
                <w:lang w:eastAsia="fr-FR"/>
              </w:rPr>
              <w:t>crédit-</w:t>
            </w:r>
            <w:r w:rsidRPr="008E6FA7">
              <w:rPr>
                <w:rFonts w:ascii="Calibri" w:eastAsia="Times New Roman" w:hAnsi="Calibri" w:cs="Tahoma"/>
                <w:color w:val="002060"/>
                <w:lang w:eastAsia="fr-FR"/>
              </w:rPr>
              <w:t>management arrive en 2</w:t>
            </w:r>
            <w:r w:rsidRPr="008E6FA7">
              <w:rPr>
                <w:rFonts w:ascii="Calibri" w:eastAsia="Times New Roman" w:hAnsi="Calibri" w:cs="Tahoma"/>
                <w:color w:val="002060"/>
                <w:vertAlign w:val="superscript"/>
                <w:lang w:eastAsia="fr-FR"/>
              </w:rPr>
              <w:t>e</w:t>
            </w:r>
            <w:r w:rsidRPr="008E6FA7">
              <w:rPr>
                <w:rFonts w:ascii="Calibri" w:eastAsia="Times New Roman" w:hAnsi="Calibri" w:cs="Tahoma"/>
                <w:color w:val="002060"/>
                <w:lang w:eastAsia="fr-FR"/>
              </w:rPr>
              <w:t xml:space="preserve"> position après le DSO</w:t>
            </w:r>
            <w:r w:rsidR="00507B65">
              <w:rPr>
                <w:rFonts w:ascii="Calibri" w:eastAsia="Times New Roman" w:hAnsi="Calibri" w:cs="Tahoma"/>
                <w:color w:val="002060"/>
                <w:lang w:eastAsia="fr-FR"/>
              </w:rPr>
              <w:t xml:space="preserve"> qu’il complète</w:t>
            </w:r>
            <w:r w:rsidRPr="008E6FA7">
              <w:rPr>
                <w:rFonts w:ascii="Calibri" w:eastAsia="Times New Roman" w:hAnsi="Calibri" w:cs="Tahoma"/>
                <w:color w:val="002060"/>
                <w:lang w:eastAsia="fr-FR"/>
              </w:rPr>
              <w:t>. Il est utilisé par 63 % des entreprises industrielles, 70 % des entreprises du négoce et de la distribution et 76 % des entreprises de services.</w:t>
            </w:r>
          </w:p>
          <w:p w:rsidR="0037430E" w:rsidRPr="008E6FA7" w:rsidRDefault="0037430E" w:rsidP="00507B65">
            <w:pPr>
              <w:shd w:val="clear" w:color="auto" w:fill="FFFFCC"/>
              <w:spacing w:after="120" w:line="240" w:lineRule="auto"/>
              <w:jc w:val="both"/>
              <w:rPr>
                <w:rFonts w:ascii="Calibri" w:eastAsia="Times New Roman" w:hAnsi="Calibri" w:cs="Tahoma"/>
                <w:color w:val="002060"/>
                <w:lang w:eastAsia="fr-FR"/>
              </w:rPr>
            </w:pPr>
            <w:r w:rsidRPr="008E6FA7">
              <w:rPr>
                <w:rFonts w:ascii="Calibri" w:eastAsia="Times New Roman" w:hAnsi="Calibri" w:cs="Tahoma"/>
                <w:color w:val="002060"/>
                <w:lang w:eastAsia="fr-FR"/>
              </w:rPr>
              <w:t>Le ratio « factures échues/encours total de créances » permet de suivre la part d'encours de créances clients qui est en retard de paiement. Il s'agit d'un indicateur de performance de recouvrement de créances calculé de la manière suivante : factures échues (c'est-à-dire dont la date d'échéance est dépassée)/ encours clients total (comptes 411, 413 et 419).</w:t>
            </w:r>
          </w:p>
          <w:p w:rsidR="0037430E" w:rsidRPr="00507B65" w:rsidRDefault="0037430E" w:rsidP="00507B65">
            <w:pPr>
              <w:pStyle w:val="Paragraphedeliste"/>
              <w:numPr>
                <w:ilvl w:val="0"/>
                <w:numId w:val="1"/>
              </w:numPr>
              <w:spacing w:after="60" w:line="240" w:lineRule="auto"/>
              <w:ind w:left="170" w:hanging="170"/>
              <w:jc w:val="both"/>
              <w:outlineLvl w:val="5"/>
              <w:rPr>
                <w:rFonts w:ascii="Calibri" w:eastAsia="Times New Roman" w:hAnsi="Calibri" w:cs="Tahoma"/>
                <w:b/>
                <w:bCs/>
                <w:color w:val="002060"/>
                <w:sz w:val="24"/>
                <w:szCs w:val="25"/>
                <w:lang w:eastAsia="fr-FR"/>
              </w:rPr>
            </w:pPr>
            <w:bookmarkStart w:id="2" w:name="s21"/>
            <w:bookmarkEnd w:id="2"/>
            <w:r w:rsidRPr="00507B65">
              <w:rPr>
                <w:rFonts w:ascii="Calibri" w:eastAsia="Times New Roman" w:hAnsi="Calibri" w:cs="Tahoma"/>
                <w:b/>
                <w:bCs/>
                <w:color w:val="002060"/>
                <w:sz w:val="24"/>
                <w:szCs w:val="25"/>
                <w:lang w:eastAsia="fr-FR"/>
              </w:rPr>
              <w:t>Top 20 des créances échues</w:t>
            </w:r>
          </w:p>
          <w:p w:rsidR="0037430E" w:rsidRPr="008E6FA7" w:rsidRDefault="0037430E" w:rsidP="00F5390C">
            <w:pPr>
              <w:spacing w:after="120" w:line="240" w:lineRule="auto"/>
              <w:jc w:val="both"/>
              <w:rPr>
                <w:rFonts w:ascii="Calibri" w:eastAsia="Times New Roman" w:hAnsi="Calibri" w:cs="Tahoma"/>
                <w:color w:val="002060"/>
                <w:szCs w:val="25"/>
                <w:lang w:eastAsia="fr-FR"/>
              </w:rPr>
            </w:pPr>
            <w:r w:rsidRPr="008E6FA7">
              <w:rPr>
                <w:rFonts w:ascii="Calibri" w:eastAsia="Times New Roman" w:hAnsi="Calibri" w:cs="Tahoma"/>
                <w:color w:val="002060"/>
                <w:szCs w:val="25"/>
                <w:lang w:eastAsia="fr-FR"/>
              </w:rPr>
              <w:t>Cet indicateur arrive en 3</w:t>
            </w:r>
            <w:r w:rsidRPr="008E6FA7">
              <w:rPr>
                <w:rFonts w:ascii="Calibri" w:eastAsia="Times New Roman" w:hAnsi="Calibri" w:cs="Tahoma"/>
                <w:color w:val="002060"/>
                <w:szCs w:val="25"/>
                <w:vertAlign w:val="superscript"/>
                <w:lang w:eastAsia="fr-FR"/>
              </w:rPr>
              <w:t>e</w:t>
            </w:r>
            <w:r w:rsidRPr="008E6FA7">
              <w:rPr>
                <w:rFonts w:ascii="Calibri" w:eastAsia="Times New Roman" w:hAnsi="Calibri" w:cs="Tahoma"/>
                <w:color w:val="002060"/>
                <w:szCs w:val="25"/>
                <w:lang w:eastAsia="fr-FR"/>
              </w:rPr>
              <w:t xml:space="preserve"> position. Il est utilisé par 59 % des entreprises industrielles, 53 % des entreprises du négoce et de la distribution et 71 % des entreprises de services (contre 59 % en 2016 dans ce secteur d'activité).</w:t>
            </w:r>
          </w:p>
          <w:p w:rsidR="0037430E" w:rsidRPr="00507B65" w:rsidRDefault="0037430E" w:rsidP="00507B65">
            <w:pPr>
              <w:pStyle w:val="Paragraphedeliste"/>
              <w:numPr>
                <w:ilvl w:val="0"/>
                <w:numId w:val="1"/>
              </w:numPr>
              <w:spacing w:after="60" w:line="240" w:lineRule="auto"/>
              <w:ind w:left="170" w:hanging="170"/>
              <w:jc w:val="both"/>
              <w:outlineLvl w:val="5"/>
              <w:rPr>
                <w:rFonts w:ascii="Calibri" w:eastAsia="Times New Roman" w:hAnsi="Calibri" w:cs="Tahoma"/>
                <w:b/>
                <w:bCs/>
                <w:color w:val="002060"/>
                <w:sz w:val="25"/>
                <w:szCs w:val="25"/>
                <w:lang w:eastAsia="fr-FR"/>
              </w:rPr>
            </w:pPr>
            <w:bookmarkStart w:id="3" w:name="s22"/>
            <w:bookmarkEnd w:id="3"/>
            <w:r w:rsidRPr="00507B65">
              <w:rPr>
                <w:rFonts w:ascii="Calibri" w:eastAsia="Times New Roman" w:hAnsi="Calibri" w:cs="Tahoma"/>
                <w:b/>
                <w:bCs/>
                <w:color w:val="002060"/>
                <w:sz w:val="24"/>
                <w:szCs w:val="25"/>
                <w:lang w:eastAsia="fr-FR"/>
              </w:rPr>
              <w:t>Autres indicateurs utilisés</w:t>
            </w:r>
          </w:p>
          <w:p w:rsidR="0037430E" w:rsidRPr="008E6FA7" w:rsidRDefault="0037430E" w:rsidP="0037430E">
            <w:pPr>
              <w:spacing w:after="60" w:line="240" w:lineRule="auto"/>
              <w:jc w:val="both"/>
              <w:rPr>
                <w:rFonts w:ascii="Calibri" w:eastAsia="Times New Roman" w:hAnsi="Calibri" w:cs="Tahoma"/>
                <w:color w:val="002060"/>
                <w:szCs w:val="25"/>
                <w:lang w:eastAsia="fr-FR"/>
              </w:rPr>
            </w:pPr>
            <w:r w:rsidRPr="008E6FA7">
              <w:rPr>
                <w:rFonts w:ascii="Calibri" w:eastAsia="Times New Roman" w:hAnsi="Calibri" w:cs="Tahoma"/>
                <w:color w:val="002060"/>
                <w:szCs w:val="25"/>
                <w:lang w:eastAsia="fr-FR"/>
              </w:rPr>
              <w:t xml:space="preserve">Outre les </w:t>
            </w:r>
            <w:r w:rsidR="00507B65">
              <w:rPr>
                <w:rFonts w:ascii="Calibri" w:eastAsia="Times New Roman" w:hAnsi="Calibri" w:cs="Tahoma"/>
                <w:color w:val="002060"/>
                <w:szCs w:val="25"/>
                <w:lang w:eastAsia="fr-FR"/>
              </w:rPr>
              <w:t>3</w:t>
            </w:r>
            <w:r w:rsidRPr="008E6FA7">
              <w:rPr>
                <w:rFonts w:ascii="Calibri" w:eastAsia="Times New Roman" w:hAnsi="Calibri" w:cs="Tahoma"/>
                <w:color w:val="002060"/>
                <w:szCs w:val="25"/>
                <w:lang w:eastAsia="fr-FR"/>
              </w:rPr>
              <w:t xml:space="preserve"> principaux indicateurs de pilotage du </w:t>
            </w:r>
            <w:r w:rsidR="00D55D4D" w:rsidRPr="008E6FA7">
              <w:rPr>
                <w:rFonts w:ascii="Calibri" w:eastAsia="Times New Roman" w:hAnsi="Calibri" w:cs="Tahoma"/>
                <w:color w:val="002060"/>
                <w:szCs w:val="25"/>
                <w:lang w:eastAsia="fr-FR"/>
              </w:rPr>
              <w:t>crédit</w:t>
            </w:r>
            <w:r w:rsidRPr="008E6FA7">
              <w:rPr>
                <w:rFonts w:ascii="Calibri" w:eastAsia="Times New Roman" w:hAnsi="Calibri" w:cs="Tahoma"/>
                <w:color w:val="002060"/>
                <w:szCs w:val="25"/>
                <w:lang w:eastAsia="fr-FR"/>
              </w:rPr>
              <w:t xml:space="preserve"> management évoqués ci-avant, les ratios ou données suivants sont également utilisés, dans une moindre mesure, par les </w:t>
            </w:r>
            <w:r w:rsidR="00D55D4D" w:rsidRPr="008E6FA7">
              <w:rPr>
                <w:rFonts w:ascii="Calibri" w:eastAsia="Times New Roman" w:hAnsi="Calibri" w:cs="Tahoma"/>
                <w:color w:val="002060"/>
                <w:szCs w:val="25"/>
                <w:lang w:eastAsia="fr-FR"/>
              </w:rPr>
              <w:t>crédit-</w:t>
            </w:r>
            <w:r w:rsidRPr="008E6FA7">
              <w:rPr>
                <w:rFonts w:ascii="Calibri" w:eastAsia="Times New Roman" w:hAnsi="Calibri" w:cs="Tahoma"/>
                <w:color w:val="002060"/>
                <w:szCs w:val="25"/>
                <w:lang w:eastAsia="fr-FR"/>
              </w:rPr>
              <w:t>managers :</w:t>
            </w:r>
          </w:p>
          <w:p w:rsidR="0037430E" w:rsidRPr="008E6FA7" w:rsidRDefault="00507B65" w:rsidP="0037430E">
            <w:pPr>
              <w:spacing w:after="60" w:line="240" w:lineRule="auto"/>
              <w:jc w:val="both"/>
              <w:rPr>
                <w:rFonts w:ascii="Calibri" w:eastAsia="Times New Roman" w:hAnsi="Calibri" w:cs="Tahoma"/>
                <w:color w:val="002060"/>
                <w:szCs w:val="25"/>
                <w:lang w:eastAsia="fr-FR"/>
              </w:rPr>
            </w:pPr>
            <w:r>
              <w:rPr>
                <w:noProof/>
              </w:rPr>
              <w:drawing>
                <wp:inline distT="0" distB="0" distL="0" distR="0" wp14:anchorId="69FACEF2" wp14:editId="55E216D2">
                  <wp:extent cx="112395" cy="94615"/>
                  <wp:effectExtent l="0" t="0" r="1905" b="635"/>
                  <wp:docPr id="1" name="Image 1" descr="triang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riang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94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7430E" w:rsidRPr="008E6FA7">
              <w:rPr>
                <w:rFonts w:ascii="Calibri" w:eastAsia="Times New Roman" w:hAnsi="Calibri" w:cs="Tahoma"/>
                <w:color w:val="002060"/>
                <w:szCs w:val="25"/>
                <w:lang w:eastAsia="fr-FR"/>
              </w:rPr>
              <w:t>les ratios encours réel/encours maximum et encours réel/somme des limites de crédit ;</w:t>
            </w:r>
          </w:p>
          <w:p w:rsidR="0037430E" w:rsidRPr="008E6FA7" w:rsidRDefault="00507B65" w:rsidP="0037430E">
            <w:pPr>
              <w:spacing w:after="60" w:line="240" w:lineRule="auto"/>
              <w:jc w:val="both"/>
              <w:rPr>
                <w:rFonts w:ascii="Calibri" w:eastAsia="Times New Roman" w:hAnsi="Calibri" w:cs="Tahoma"/>
                <w:color w:val="002060"/>
                <w:szCs w:val="25"/>
                <w:lang w:eastAsia="fr-FR"/>
              </w:rPr>
            </w:pPr>
            <w:r>
              <w:rPr>
                <w:noProof/>
              </w:rPr>
              <w:drawing>
                <wp:inline distT="0" distB="0" distL="0" distR="0" wp14:anchorId="69FACEF2" wp14:editId="55E216D2">
                  <wp:extent cx="112395" cy="94615"/>
                  <wp:effectExtent l="0" t="0" r="1905" b="635"/>
                  <wp:docPr id="2" name="Image 2" descr="triang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riang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94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7430E" w:rsidRPr="008E6FA7">
              <w:rPr>
                <w:rFonts w:ascii="Calibri" w:eastAsia="Times New Roman" w:hAnsi="Calibri" w:cs="Tahoma"/>
                <w:color w:val="002060"/>
                <w:szCs w:val="25"/>
                <w:lang w:eastAsia="fr-FR"/>
              </w:rPr>
              <w:t>la valeur et le nombre de litiges ;</w:t>
            </w:r>
          </w:p>
          <w:p w:rsidR="0037430E" w:rsidRPr="008E6FA7" w:rsidRDefault="00507B65" w:rsidP="0037430E">
            <w:pPr>
              <w:spacing w:after="60" w:line="240" w:lineRule="auto"/>
              <w:jc w:val="both"/>
              <w:rPr>
                <w:rFonts w:ascii="Calibri" w:eastAsia="Times New Roman" w:hAnsi="Calibri" w:cs="Tahoma"/>
                <w:color w:val="002060"/>
                <w:szCs w:val="25"/>
                <w:lang w:eastAsia="fr-FR"/>
              </w:rPr>
            </w:pPr>
            <w:r>
              <w:rPr>
                <w:noProof/>
              </w:rPr>
              <w:drawing>
                <wp:inline distT="0" distB="0" distL="0" distR="0" wp14:anchorId="69FACEF2" wp14:editId="55E216D2">
                  <wp:extent cx="112395" cy="94615"/>
                  <wp:effectExtent l="0" t="0" r="1905" b="635"/>
                  <wp:docPr id="4" name="Image 4" descr="triang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riang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94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7430E" w:rsidRPr="008E6FA7">
              <w:rPr>
                <w:rFonts w:ascii="Calibri" w:eastAsia="Times New Roman" w:hAnsi="Calibri" w:cs="Tahoma"/>
                <w:color w:val="002060"/>
                <w:szCs w:val="25"/>
                <w:lang w:eastAsia="fr-FR"/>
              </w:rPr>
              <w:t>le taux de blocage des commandes ;</w:t>
            </w:r>
          </w:p>
          <w:p w:rsidR="0037430E" w:rsidRPr="008E6FA7" w:rsidRDefault="00507B65" w:rsidP="0037430E">
            <w:pPr>
              <w:spacing w:after="60" w:line="240" w:lineRule="auto"/>
              <w:jc w:val="both"/>
              <w:rPr>
                <w:rFonts w:ascii="Calibri" w:eastAsia="Times New Roman" w:hAnsi="Calibri" w:cs="Tahoma"/>
                <w:color w:val="002060"/>
                <w:szCs w:val="25"/>
                <w:lang w:eastAsia="fr-FR"/>
              </w:rPr>
            </w:pPr>
            <w:r>
              <w:rPr>
                <w:noProof/>
              </w:rPr>
              <w:drawing>
                <wp:inline distT="0" distB="0" distL="0" distR="0" wp14:anchorId="69FACEF2" wp14:editId="55E216D2">
                  <wp:extent cx="112395" cy="94615"/>
                  <wp:effectExtent l="0" t="0" r="1905" b="635"/>
                  <wp:docPr id="5" name="Image 5" descr="triang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riang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94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7430E" w:rsidRPr="008E6FA7">
              <w:rPr>
                <w:rFonts w:ascii="Calibri" w:eastAsia="Times New Roman" w:hAnsi="Calibri" w:cs="Tahoma"/>
                <w:color w:val="002060"/>
                <w:szCs w:val="25"/>
                <w:lang w:eastAsia="fr-FR"/>
              </w:rPr>
              <w:t>la valeur et le nombre des avoirs ;</w:t>
            </w:r>
          </w:p>
          <w:p w:rsidR="0037430E" w:rsidRDefault="00E724F2" w:rsidP="00E724F2">
            <w:pPr>
              <w:spacing w:after="240" w:line="240" w:lineRule="auto"/>
              <w:jc w:val="both"/>
              <w:rPr>
                <w:rFonts w:ascii="Calibri" w:eastAsia="Times New Roman" w:hAnsi="Calibri" w:cs="Tahoma"/>
                <w:color w:val="002060"/>
                <w:szCs w:val="25"/>
                <w:lang w:eastAsia="fr-FR"/>
              </w:rPr>
            </w:pPr>
            <w:r w:rsidRPr="00A46F79">
              <w:pict>
                <v:shape id="_x0000_i1040" type="#_x0000_t75" alt="triangle" style="width:9pt;height:7.5pt;visibility:visible;mso-wrap-style:square">
                  <v:imagedata r:id="rId6" o:title="triangle"/>
                </v:shape>
              </w:pict>
            </w:r>
            <w:r w:rsidR="0037430E" w:rsidRPr="008E6FA7">
              <w:rPr>
                <w:rFonts w:ascii="Calibri" w:eastAsia="Times New Roman" w:hAnsi="Calibri" w:cs="Tahoma"/>
                <w:color w:val="002060"/>
                <w:szCs w:val="25"/>
                <w:lang w:eastAsia="fr-FR"/>
              </w:rPr>
              <w:t xml:space="preserve">et </w:t>
            </w:r>
            <w:bookmarkStart w:id="4" w:name="_GoBack"/>
            <w:r w:rsidR="0037430E" w:rsidRPr="008E6FA7">
              <w:rPr>
                <w:rFonts w:ascii="Calibri" w:eastAsia="Times New Roman" w:hAnsi="Calibri" w:cs="Tahoma"/>
                <w:color w:val="002060"/>
                <w:szCs w:val="25"/>
                <w:lang w:eastAsia="fr-FR"/>
              </w:rPr>
              <w:t xml:space="preserve">enfin le nombre </w:t>
            </w:r>
            <w:bookmarkEnd w:id="4"/>
            <w:r w:rsidR="0037430E" w:rsidRPr="008E6FA7">
              <w:rPr>
                <w:rFonts w:ascii="Calibri" w:eastAsia="Times New Roman" w:hAnsi="Calibri" w:cs="Tahoma"/>
                <w:color w:val="002060"/>
                <w:szCs w:val="25"/>
                <w:lang w:eastAsia="fr-FR"/>
              </w:rPr>
              <w:t>d'</w:t>
            </w:r>
            <w:proofErr w:type="spellStart"/>
            <w:r w:rsidR="0037430E" w:rsidRPr="008E6FA7">
              <w:rPr>
                <w:rFonts w:ascii="Calibri" w:eastAsia="Times New Roman" w:hAnsi="Calibri" w:cs="Tahoma"/>
                <w:color w:val="002060"/>
                <w:szCs w:val="25"/>
                <w:lang w:eastAsia="fr-FR"/>
              </w:rPr>
              <w:t>avoirs</w:t>
            </w:r>
            <w:proofErr w:type="spellEnd"/>
            <w:r w:rsidR="0037430E" w:rsidRPr="008E6FA7">
              <w:rPr>
                <w:rFonts w:ascii="Calibri" w:eastAsia="Times New Roman" w:hAnsi="Calibri" w:cs="Tahoma"/>
                <w:color w:val="002060"/>
                <w:szCs w:val="25"/>
                <w:lang w:eastAsia="fr-FR"/>
              </w:rPr>
              <w:t>/le nombre de factures.</w:t>
            </w: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9834"/>
            </w:tblGrid>
            <w:tr w:rsidR="00E724F2" w:rsidTr="00E724F2">
              <w:tc>
                <w:tcPr>
                  <w:tcW w:w="9834" w:type="dxa"/>
                  <w:shd w:val="clear" w:color="auto" w:fill="FFFFCC"/>
                </w:tcPr>
                <w:p w:rsidR="00E724F2" w:rsidRDefault="00E724F2" w:rsidP="00E724F2">
                  <w:pPr>
                    <w:spacing w:before="120" w:after="120"/>
                    <w:ind w:left="113" w:right="113"/>
                    <w:jc w:val="both"/>
                    <w:rPr>
                      <w:rFonts w:ascii="Calibri" w:eastAsia="Times New Roman" w:hAnsi="Calibri" w:cs="Tahoma"/>
                      <w:color w:val="002060"/>
                      <w:szCs w:val="25"/>
                      <w:lang w:eastAsia="fr-FR"/>
                    </w:rPr>
                  </w:pPr>
                  <w:r w:rsidRPr="00E724F2">
                    <w:rPr>
                      <w:rFonts w:ascii="Calibri" w:eastAsia="Times New Roman" w:hAnsi="Calibri" w:cs="Tahoma"/>
                      <w:color w:val="002060"/>
                      <w:szCs w:val="30"/>
                      <w:shd w:val="clear" w:color="auto" w:fill="FFFFCC"/>
                      <w:lang w:eastAsia="fr-FR"/>
                    </w:rPr>
                    <w:t>Au-delà de la seule gestion du risque clients axée sur la prévention, les relances et le recouvrement, les missions confiées aux crédit-managers peuvent aller jusqu'à la définition des limites de crédit ou même des conditions de paiement, de concert avec les services commerciaux</w:t>
                  </w:r>
                  <w:r w:rsidRPr="00E724F2">
                    <w:rPr>
                      <w:rFonts w:ascii="Calibri" w:eastAsia="Times New Roman" w:hAnsi="Calibri" w:cs="Tahoma"/>
                      <w:color w:val="002060"/>
                      <w:szCs w:val="30"/>
                      <w:shd w:val="clear" w:color="auto" w:fill="FFFFCC"/>
                      <w:lang w:eastAsia="fr-FR"/>
                    </w:rPr>
                    <w:t>.</w:t>
                  </w:r>
                </w:p>
              </w:tc>
            </w:tr>
          </w:tbl>
          <w:p w:rsidR="0037430E" w:rsidRPr="00E724F2" w:rsidRDefault="0037430E" w:rsidP="00E724F2">
            <w:pPr>
              <w:shd w:val="clear" w:color="auto" w:fill="ECEEF0"/>
              <w:spacing w:after="120" w:line="240" w:lineRule="auto"/>
              <w:jc w:val="both"/>
              <w:rPr>
                <w:rFonts w:ascii="Calibri" w:eastAsia="Times New Roman" w:hAnsi="Calibri" w:cs="Tahoma"/>
                <w:color w:val="002060"/>
                <w:szCs w:val="30"/>
                <w:lang w:eastAsia="fr-FR"/>
              </w:rPr>
            </w:pPr>
          </w:p>
        </w:tc>
      </w:tr>
      <w:tr w:rsidR="00507B65" w:rsidRPr="008E6FA7" w:rsidTr="0037430E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07B65" w:rsidRPr="008E6FA7" w:rsidRDefault="00507B65" w:rsidP="0037430E">
            <w:pPr>
              <w:spacing w:before="100" w:beforeAutospacing="1" w:after="120" w:line="240" w:lineRule="auto"/>
              <w:jc w:val="both"/>
              <w:outlineLvl w:val="2"/>
              <w:rPr>
                <w:rFonts w:ascii="Calibri" w:eastAsia="Times New Roman" w:hAnsi="Calibri" w:cs="Arial"/>
                <w:b/>
                <w:bCs/>
                <w:color w:val="002060"/>
                <w:sz w:val="28"/>
                <w:szCs w:val="42"/>
                <w:lang w:eastAsia="fr-FR"/>
              </w:rPr>
            </w:pPr>
          </w:p>
        </w:tc>
      </w:tr>
    </w:tbl>
    <w:p w:rsidR="0037430E" w:rsidRDefault="0037430E"/>
    <w:sectPr w:rsidR="0037430E" w:rsidSect="008E6FA7">
      <w:pgSz w:w="11906" w:h="16838"/>
      <w:pgMar w:top="851" w:right="851" w:bottom="851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6" o:spid="_x0000_i1028" type="#_x0000_t75" alt="triangle" style="width:9pt;height:7.5pt;visibility:visible;mso-wrap-style:square" o:bullet="t">
        <v:imagedata r:id="rId1" o:title="triangle"/>
      </v:shape>
    </w:pict>
  </w:numPicBullet>
  <w:abstractNum w:abstractNumId="0" w15:restartNumberingAfterBreak="0">
    <w:nsid w:val="61193C11"/>
    <w:multiLevelType w:val="hybridMultilevel"/>
    <w:tmpl w:val="ECAC22D8"/>
    <w:lvl w:ilvl="0" w:tplc="3A3A17F2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30E"/>
    <w:rsid w:val="0037430E"/>
    <w:rsid w:val="00507B65"/>
    <w:rsid w:val="008E6FA7"/>
    <w:rsid w:val="009F12C4"/>
    <w:rsid w:val="00B35C3F"/>
    <w:rsid w:val="00D55D4D"/>
    <w:rsid w:val="00E724F2"/>
    <w:rsid w:val="00F53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114F31-2F0F-4681-A80A-806C01C19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07B65"/>
    <w:pPr>
      <w:ind w:left="720"/>
      <w:contextualSpacing/>
    </w:pPr>
  </w:style>
  <w:style w:type="table" w:styleId="Grilledutableau">
    <w:name w:val="Table Grid"/>
    <w:basedOn w:val="TableauNormal"/>
    <w:uiPriority w:val="39"/>
    <w:rsid w:val="00E72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820110">
      <w:bodyDiv w:val="1"/>
      <w:marLeft w:val="0"/>
      <w:marRight w:val="0"/>
      <w:marTop w:val="0"/>
      <w:marBottom w:val="0"/>
      <w:divBdr>
        <w:top w:val="single" w:sz="6" w:space="0" w:color="FFFFFF"/>
        <w:left w:val="none" w:sz="0" w:space="0" w:color="auto"/>
        <w:bottom w:val="none" w:sz="0" w:space="0" w:color="auto"/>
        <w:right w:val="none" w:sz="0" w:space="0" w:color="auto"/>
      </w:divBdr>
      <w:divsChild>
        <w:div w:id="198056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209172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5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418516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69759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440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264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6250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392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2882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5753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8281411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850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2860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996692">
                                  <w:blockQuote w:val="1"/>
                                  <w:marLeft w:val="0"/>
                                  <w:marRight w:val="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510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41851105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90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9681066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528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2913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855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159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4499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7145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6491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868363">
                                  <w:blockQuote w:val="1"/>
                                  <w:marLeft w:val="0"/>
                                  <w:marRight w:val="0"/>
                                  <w:marTop w:val="300"/>
                                  <w:marBottom w:val="300"/>
                                  <w:divBdr>
                                    <w:top w:val="single" w:sz="6" w:space="4" w:color="D0D2D5"/>
                                    <w:left w:val="single" w:sz="6" w:space="30" w:color="D0D2D5"/>
                                    <w:bottom w:val="single" w:sz="6" w:space="4" w:color="D0D2D5"/>
                                    <w:right w:val="single" w:sz="6" w:space="4" w:color="D0D2D5"/>
                                  </w:divBdr>
                                  <w:divsChild>
                                    <w:div w:id="781267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6334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3529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920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0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82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31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334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 BERGARA</dc:creator>
  <cp:keywords/>
  <dc:description/>
  <cp:lastModifiedBy>J. BERGARA</cp:lastModifiedBy>
  <cp:revision>2</cp:revision>
  <dcterms:created xsi:type="dcterms:W3CDTF">2018-10-20T10:37:00Z</dcterms:created>
  <dcterms:modified xsi:type="dcterms:W3CDTF">2018-10-20T10:37:00Z</dcterms:modified>
</cp:coreProperties>
</file>