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8A" w:rsidRPr="007C68CB" w:rsidRDefault="0049129A" w:rsidP="00D8611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rPr>
          <w:rFonts w:ascii="Calibri" w:hAnsi="Calibri"/>
          <w:b/>
          <w:color w:val="FFFFFF"/>
          <w:sz w:val="26"/>
          <w:szCs w:val="26"/>
        </w:rPr>
      </w:pPr>
      <w:r w:rsidRPr="007C68CB">
        <w:rPr>
          <w:rFonts w:ascii="Calibri" w:hAnsi="Calibri"/>
          <w:b/>
          <w:color w:val="FFFFFF"/>
          <w:sz w:val="26"/>
          <w:szCs w:val="26"/>
        </w:rPr>
        <w:t>Présentation d’un business plan</w:t>
      </w:r>
    </w:p>
    <w:p w:rsidR="00FA5DF3" w:rsidRDefault="00FA5DF3">
      <w:pPr>
        <w:jc w:val="both"/>
        <w:rPr>
          <w:rFonts w:ascii="Calibri" w:hAnsi="Calibri"/>
          <w:b/>
          <w:color w:val="333399"/>
          <w:sz w:val="22"/>
          <w:szCs w:val="22"/>
        </w:rPr>
      </w:pPr>
    </w:p>
    <w:p w:rsidR="00720D8A" w:rsidRPr="00040C66" w:rsidRDefault="004A0294" w:rsidP="000A233D">
      <w:pPr>
        <w:spacing w:after="120"/>
        <w:jc w:val="both"/>
        <w:rPr>
          <w:rFonts w:ascii="Calibri" w:hAnsi="Calibri"/>
          <w:b/>
          <w:color w:val="002060"/>
          <w:sz w:val="21"/>
          <w:szCs w:val="21"/>
        </w:rPr>
      </w:pPr>
      <w:r w:rsidRPr="00040C66">
        <w:rPr>
          <w:rFonts w:ascii="Calibri" w:hAnsi="Calibri"/>
          <w:b/>
          <w:color w:val="002060"/>
          <w:sz w:val="21"/>
          <w:szCs w:val="21"/>
        </w:rPr>
        <w:t>Remarques préliminaires</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 xml:space="preserve">Ce document est destiné au rédacteur d’un business plan afin de lui donner les lignes directrices correspondant aux présentations habituellement attendues des interlocuteurs (investisseurs, business </w:t>
      </w:r>
      <w:proofErr w:type="spellStart"/>
      <w:r w:rsidRPr="000A233D">
        <w:rPr>
          <w:rFonts w:ascii="Calibri" w:hAnsi="Calibri"/>
          <w:color w:val="002060"/>
          <w:sz w:val="20"/>
          <w:szCs w:val="20"/>
        </w:rPr>
        <w:t>angels</w:t>
      </w:r>
      <w:proofErr w:type="spellEnd"/>
      <w:r w:rsidRPr="000A233D">
        <w:rPr>
          <w:rFonts w:ascii="Calibri" w:hAnsi="Calibri"/>
          <w:color w:val="002060"/>
          <w:sz w:val="20"/>
          <w:szCs w:val="20"/>
        </w:rPr>
        <w:t>, banquie</w:t>
      </w:r>
      <w:r w:rsidR="00C755FC" w:rsidRPr="000A233D">
        <w:rPr>
          <w:rFonts w:ascii="Calibri" w:hAnsi="Calibri"/>
          <w:color w:val="002060"/>
          <w:sz w:val="20"/>
          <w:szCs w:val="20"/>
        </w:rPr>
        <w:t>rs, financiers, partenaires)</w:t>
      </w:r>
      <w:r w:rsidRPr="000A233D">
        <w:rPr>
          <w:rFonts w:ascii="Calibri" w:hAnsi="Calibri"/>
          <w:color w:val="002060"/>
          <w:sz w:val="20"/>
          <w:szCs w:val="20"/>
        </w:rPr>
        <w:t>.</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Ce document est un guide général qui nécessite d’être adapté à la fois à votre cas particulier, mais également à la destination du document et au(x) lecteurs du rapport ainsi préparé.</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Le plan type et les remarques générales sont valables pour la plupart des business plans. Ils sont étayés de conseils personnels ou de « trucs » précédés du signe « </w:t>
      </w:r>
      <w:r w:rsidRPr="000A233D">
        <w:rPr>
          <w:rFonts w:ascii="Calibri" w:hAnsi="Calibri"/>
          <w:color w:val="002060"/>
          <w:sz w:val="20"/>
          <w:szCs w:val="20"/>
        </w:rPr>
        <w:sym w:font="Wingdings" w:char="F046"/>
      </w:r>
      <w:r w:rsidRPr="000A233D">
        <w:rPr>
          <w:rFonts w:ascii="Calibri" w:hAnsi="Calibri"/>
          <w:color w:val="002060"/>
          <w:sz w:val="20"/>
          <w:szCs w:val="20"/>
        </w:rPr>
        <w:t> ».</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Dans des cas particuliers de prévisions pour des projets importants (début d’activité nécessitant de rassembler plusieurs investisseurs et financiers) ou des restructurations financières (période de « </w:t>
      </w:r>
      <w:proofErr w:type="spellStart"/>
      <w:r w:rsidRPr="000A233D">
        <w:rPr>
          <w:rFonts w:ascii="Calibri" w:hAnsi="Calibri"/>
          <w:color w:val="002060"/>
          <w:sz w:val="20"/>
          <w:szCs w:val="20"/>
        </w:rPr>
        <w:t>recovery</w:t>
      </w:r>
      <w:proofErr w:type="spellEnd"/>
      <w:r w:rsidRPr="000A233D">
        <w:rPr>
          <w:rFonts w:ascii="Calibri" w:hAnsi="Calibri"/>
          <w:color w:val="002060"/>
          <w:sz w:val="20"/>
          <w:szCs w:val="20"/>
        </w:rPr>
        <w:t> » ou entreprise en difficultés), il peut être conseillé l’assistance de conseils spécialisés dans ce domaine.</w:t>
      </w:r>
    </w:p>
    <w:p w:rsidR="00720D8A" w:rsidRPr="000A233D" w:rsidRDefault="00720D8A">
      <w:pPr>
        <w:jc w:val="both"/>
        <w:rPr>
          <w:rFonts w:ascii="Calibri" w:hAnsi="Calibri"/>
          <w:color w:val="002060"/>
          <w:sz w:val="20"/>
          <w:szCs w:val="20"/>
        </w:rPr>
      </w:pPr>
      <w:r w:rsidRPr="000A233D">
        <w:rPr>
          <w:rFonts w:ascii="Calibri" w:hAnsi="Calibri"/>
          <w:color w:val="002060"/>
          <w:sz w:val="20"/>
          <w:szCs w:val="20"/>
        </w:rPr>
        <w:t xml:space="preserve">Des informations complémentaires sur la réalisation de business plan peuvent être obtenues sur des sites tels que </w:t>
      </w:r>
      <w:hyperlink r:id="rId7" w:history="1">
        <w:r w:rsidRPr="000A233D">
          <w:rPr>
            <w:rStyle w:val="Lienhypertexte"/>
            <w:rFonts w:ascii="Calibri" w:hAnsi="Calibri"/>
            <w:color w:val="002060"/>
            <w:sz w:val="20"/>
            <w:szCs w:val="20"/>
          </w:rPr>
          <w:t>http://www.netpme.fr/business-plan/</w:t>
        </w:r>
      </w:hyperlink>
    </w:p>
    <w:p w:rsidR="00720D8A" w:rsidRPr="000A233D" w:rsidRDefault="00720D8A">
      <w:pPr>
        <w:jc w:val="both"/>
        <w:rPr>
          <w:rFonts w:ascii="Calibri" w:hAnsi="Calibri"/>
          <w:color w:val="002060"/>
          <w:sz w:val="20"/>
          <w:szCs w:val="20"/>
        </w:rPr>
      </w:pPr>
    </w:p>
    <w:p w:rsidR="00720D8A" w:rsidRPr="00040C66" w:rsidRDefault="00720D8A">
      <w:pPr>
        <w:jc w:val="center"/>
        <w:rPr>
          <w:rFonts w:ascii="Calibri" w:hAnsi="Calibri"/>
          <w:b/>
          <w:bCs/>
          <w:color w:val="002060"/>
          <w:sz w:val="22"/>
          <w:szCs w:val="20"/>
        </w:rPr>
      </w:pPr>
      <w:r w:rsidRPr="00040C66">
        <w:rPr>
          <w:rFonts w:ascii="Calibri" w:hAnsi="Calibri"/>
          <w:b/>
          <w:bCs/>
          <w:color w:val="002060"/>
          <w:sz w:val="22"/>
          <w:szCs w:val="20"/>
        </w:rPr>
        <w:t>SOMMAIRE</w:t>
      </w:r>
    </w:p>
    <w:p w:rsidR="00720D8A" w:rsidRPr="007C68CB" w:rsidRDefault="00720D8A" w:rsidP="007C68CB">
      <w:pPr>
        <w:jc w:val="center"/>
        <w:rPr>
          <w:rFonts w:ascii="Calibri" w:hAnsi="Calibri"/>
          <w:b/>
          <w:bCs/>
          <w:color w:val="002060"/>
          <w:sz w:val="20"/>
          <w:szCs w:val="20"/>
        </w:rPr>
      </w:pPr>
      <w:r w:rsidRPr="000A233D">
        <w:rPr>
          <w:rFonts w:ascii="Calibri" w:hAnsi="Calibri"/>
          <w:b/>
          <w:bCs/>
          <w:color w:val="002060"/>
          <w:sz w:val="20"/>
          <w:szCs w:val="20"/>
        </w:rPr>
        <w:t>___________</w:t>
      </w:r>
    </w:p>
    <w:p w:rsidR="00720D8A" w:rsidRPr="000A233D" w:rsidRDefault="00720D8A">
      <w:pPr>
        <w:jc w:val="both"/>
        <w:rPr>
          <w:rFonts w:ascii="Calibri" w:hAnsi="Calibri"/>
          <w:color w:val="002060"/>
          <w:sz w:val="20"/>
          <w:szCs w:val="20"/>
        </w:rPr>
      </w:pPr>
    </w:p>
    <w:p w:rsidR="00720D8A" w:rsidRPr="0067669B" w:rsidRDefault="00720D8A" w:rsidP="00034C73">
      <w:pPr>
        <w:pStyle w:val="TM1"/>
        <w:spacing w:after="60"/>
        <w:rPr>
          <w:rFonts w:asciiTheme="minorHAnsi" w:hAnsiTheme="minorHAnsi"/>
          <w:sz w:val="20"/>
          <w:szCs w:val="20"/>
        </w:rPr>
      </w:pPr>
      <w:r w:rsidRPr="0067669B">
        <w:rPr>
          <w:rFonts w:asciiTheme="minorHAnsi" w:hAnsiTheme="minorHAnsi"/>
          <w:sz w:val="20"/>
          <w:szCs w:val="20"/>
        </w:rPr>
        <w:fldChar w:fldCharType="begin"/>
      </w:r>
      <w:r w:rsidRPr="0067669B">
        <w:rPr>
          <w:rFonts w:asciiTheme="minorHAnsi" w:hAnsiTheme="minorHAnsi"/>
          <w:sz w:val="20"/>
          <w:szCs w:val="20"/>
        </w:rPr>
        <w:instrText xml:space="preserve"> TOC \h \z </w:instrText>
      </w:r>
      <w:r w:rsidRPr="0067669B">
        <w:rPr>
          <w:rFonts w:asciiTheme="minorHAnsi" w:hAnsiTheme="minorHAnsi"/>
          <w:sz w:val="20"/>
          <w:szCs w:val="20"/>
        </w:rPr>
        <w:fldChar w:fldCharType="separate"/>
      </w:r>
      <w:hyperlink w:anchor="_Toc529805649" w:history="1">
        <w:r w:rsidRPr="0067669B">
          <w:rPr>
            <w:rStyle w:val="Lienhypertexte"/>
            <w:rFonts w:asciiTheme="minorHAnsi" w:hAnsiTheme="minorHAnsi"/>
            <w:b w:val="0"/>
            <w:bCs w:val="0"/>
            <w:color w:val="002060"/>
            <w:sz w:val="20"/>
            <w:szCs w:val="20"/>
          </w:rPr>
          <w:t xml:space="preserve">1. </w:t>
        </w:r>
        <w:r w:rsidRPr="0067669B">
          <w:rPr>
            <w:rStyle w:val="Lienhypertexte"/>
            <w:rFonts w:asciiTheme="minorHAnsi" w:hAnsiTheme="minorHAnsi"/>
            <w:bCs w:val="0"/>
            <w:color w:val="002060"/>
            <w:sz w:val="20"/>
            <w:szCs w:val="20"/>
          </w:rPr>
          <w:t>PRESENTATION DE L'ENTREPRISE</w:t>
        </w:r>
        <w:r w:rsidRPr="0067669B">
          <w:rPr>
            <w:rFonts w:asciiTheme="minorHAnsi" w:hAnsiTheme="minorHAnsi"/>
            <w:webHidden/>
            <w:sz w:val="20"/>
            <w:szCs w:val="20"/>
          </w:rPr>
          <w:tab/>
        </w:r>
        <w:r w:rsidRPr="0067669B">
          <w:rPr>
            <w:rFonts w:asciiTheme="minorHAnsi" w:hAnsiTheme="minorHAnsi"/>
            <w:webHidden/>
            <w:sz w:val="20"/>
            <w:szCs w:val="20"/>
          </w:rPr>
          <w:fldChar w:fldCharType="begin"/>
        </w:r>
        <w:r w:rsidRPr="0067669B">
          <w:rPr>
            <w:rFonts w:asciiTheme="minorHAnsi" w:hAnsiTheme="minorHAnsi"/>
            <w:webHidden/>
            <w:sz w:val="20"/>
            <w:szCs w:val="20"/>
          </w:rPr>
          <w:instrText xml:space="preserve"> PAGEREF _Toc529805649 \h </w:instrText>
        </w:r>
        <w:r w:rsidRPr="0067669B">
          <w:rPr>
            <w:rFonts w:asciiTheme="minorHAnsi" w:hAnsiTheme="minorHAnsi"/>
            <w:webHidden/>
            <w:sz w:val="20"/>
            <w:szCs w:val="20"/>
          </w:rPr>
        </w:r>
        <w:r w:rsidRPr="0067669B">
          <w:rPr>
            <w:rFonts w:asciiTheme="minorHAnsi" w:hAnsiTheme="minorHAnsi"/>
            <w:webHidden/>
            <w:sz w:val="20"/>
            <w:szCs w:val="20"/>
          </w:rPr>
          <w:fldChar w:fldCharType="separate"/>
        </w:r>
        <w:r w:rsidR="007B68E9" w:rsidRPr="0067669B">
          <w:rPr>
            <w:rFonts w:asciiTheme="minorHAnsi" w:hAnsiTheme="minorHAnsi"/>
            <w:webHidden/>
            <w:sz w:val="20"/>
            <w:szCs w:val="20"/>
          </w:rPr>
          <w:t>2</w:t>
        </w:r>
        <w:r w:rsidRPr="0067669B">
          <w:rPr>
            <w:rFonts w:asciiTheme="minorHAnsi" w:hAnsiTheme="minorHAnsi"/>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50" w:history="1">
        <w:r w:rsidR="00720D8A" w:rsidRPr="0067669B">
          <w:rPr>
            <w:rStyle w:val="Lienhypertexte"/>
            <w:rFonts w:asciiTheme="minorHAnsi" w:hAnsiTheme="minorHAnsi"/>
            <w:noProof/>
            <w:color w:val="002060"/>
            <w:sz w:val="20"/>
            <w:szCs w:val="20"/>
          </w:rPr>
          <w:t>Activité et historique</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_Toc529805650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2</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51" w:history="1">
        <w:r w:rsidR="00720D8A" w:rsidRPr="0067669B">
          <w:rPr>
            <w:rStyle w:val="Lienhypertexte"/>
            <w:rFonts w:asciiTheme="minorHAnsi" w:hAnsiTheme="minorHAnsi"/>
            <w:noProof/>
            <w:color w:val="002060"/>
            <w:sz w:val="20"/>
            <w:szCs w:val="20"/>
          </w:rPr>
          <w:t>Présentation Générale</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_Toc529805651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2</w:t>
        </w:r>
        <w:r w:rsidR="00720D8A" w:rsidRPr="0067669B">
          <w:rPr>
            <w:rFonts w:asciiTheme="minorHAnsi" w:hAnsiTheme="minorHAnsi"/>
            <w:noProof/>
            <w:webHidden/>
            <w:sz w:val="20"/>
            <w:szCs w:val="20"/>
          </w:rPr>
          <w:fldChar w:fldCharType="end"/>
        </w:r>
      </w:hyperlink>
    </w:p>
    <w:p w:rsidR="00720D8A" w:rsidRPr="0067669B" w:rsidRDefault="007B68E9" w:rsidP="007B68E9">
      <w:pPr>
        <w:pStyle w:val="TM3"/>
        <w:tabs>
          <w:tab w:val="right" w:leader="dot" w:pos="9062"/>
        </w:tabs>
        <w:spacing w:after="30"/>
        <w:ind w:left="284"/>
        <w:rPr>
          <w:rFonts w:asciiTheme="minorHAnsi" w:hAnsiTheme="minorHAnsi"/>
          <w:i/>
          <w:iCs/>
          <w:noProof/>
          <w:color w:val="002060"/>
          <w:sz w:val="20"/>
          <w:szCs w:val="20"/>
        </w:rPr>
      </w:pPr>
      <w:r w:rsidRPr="0067669B">
        <w:rPr>
          <w:rFonts w:asciiTheme="minorHAnsi" w:hAnsiTheme="minorHAnsi"/>
          <w:sz w:val="20"/>
          <w:szCs w:val="20"/>
        </w:rPr>
        <w:t xml:space="preserve">. </w:t>
      </w:r>
      <w:hyperlink w:anchor="_Toc529805652" w:history="1">
        <w:r w:rsidR="00720D8A" w:rsidRPr="0067669B">
          <w:rPr>
            <w:rStyle w:val="Lienhypertexte"/>
            <w:rFonts w:asciiTheme="minorHAnsi" w:hAnsiTheme="minorHAnsi"/>
            <w:i/>
            <w:iCs/>
            <w:noProof/>
            <w:color w:val="002060"/>
            <w:sz w:val="20"/>
            <w:szCs w:val="20"/>
          </w:rPr>
          <w:t>Actionnariat et direction</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_Toc529805652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Pr="0067669B">
          <w:rPr>
            <w:rFonts w:asciiTheme="minorHAnsi" w:hAnsiTheme="minorHAnsi"/>
            <w:i/>
            <w:iCs/>
            <w:noProof/>
            <w:webHidden/>
            <w:color w:val="002060"/>
            <w:sz w:val="20"/>
            <w:szCs w:val="20"/>
          </w:rPr>
          <w:t>2</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7B68E9">
      <w:pPr>
        <w:pStyle w:val="TM3"/>
        <w:tabs>
          <w:tab w:val="right" w:leader="dot" w:pos="9062"/>
        </w:tabs>
        <w:spacing w:after="30"/>
        <w:ind w:left="284"/>
        <w:rPr>
          <w:rFonts w:asciiTheme="minorHAnsi" w:hAnsiTheme="minorHAnsi"/>
          <w:i/>
          <w:iCs/>
          <w:noProof/>
          <w:color w:val="002060"/>
          <w:sz w:val="20"/>
          <w:szCs w:val="20"/>
        </w:rPr>
      </w:pPr>
      <w:hyperlink w:anchor="_Toc529805653" w:history="1">
        <w:r w:rsidR="00720D8A" w:rsidRPr="0067669B">
          <w:rPr>
            <w:rStyle w:val="Lienhypertexte"/>
            <w:rFonts w:asciiTheme="minorHAnsi" w:hAnsiTheme="minorHAnsi"/>
            <w:i/>
            <w:iCs/>
            <w:noProof/>
            <w:color w:val="002060"/>
            <w:sz w:val="20"/>
            <w:szCs w:val="20"/>
          </w:rPr>
          <w:t>. L’exercice de l’activité : les produits et services</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_Toc529805653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2</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7B68E9">
      <w:pPr>
        <w:pStyle w:val="TM3"/>
        <w:tabs>
          <w:tab w:val="right" w:leader="dot" w:pos="9062"/>
        </w:tabs>
        <w:spacing w:after="60"/>
        <w:ind w:left="284"/>
        <w:rPr>
          <w:rFonts w:asciiTheme="minorHAnsi" w:hAnsiTheme="minorHAnsi"/>
          <w:i/>
          <w:iCs/>
          <w:noProof/>
          <w:color w:val="002060"/>
          <w:sz w:val="20"/>
          <w:szCs w:val="20"/>
        </w:rPr>
      </w:pPr>
      <w:hyperlink w:anchor="_Toc529805654" w:history="1">
        <w:r w:rsidR="007B68E9" w:rsidRPr="0067669B">
          <w:rPr>
            <w:rStyle w:val="Lienhypertexte"/>
            <w:rFonts w:asciiTheme="minorHAnsi" w:hAnsiTheme="minorHAnsi"/>
            <w:i/>
            <w:iCs/>
            <w:noProof/>
            <w:color w:val="002060"/>
            <w:sz w:val="20"/>
            <w:szCs w:val="20"/>
          </w:rPr>
          <w:t xml:space="preserve">. </w:t>
        </w:r>
        <w:r w:rsidR="00720D8A" w:rsidRPr="0067669B">
          <w:rPr>
            <w:rStyle w:val="Lienhypertexte"/>
            <w:rFonts w:asciiTheme="minorHAnsi" w:hAnsiTheme="minorHAnsi"/>
            <w:i/>
            <w:iCs/>
            <w:noProof/>
            <w:color w:val="002060"/>
            <w:sz w:val="20"/>
            <w:szCs w:val="20"/>
          </w:rPr>
          <w:t>Positionnement par rapport au marché</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_Toc529805654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2</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55" w:history="1">
        <w:r w:rsidR="00720D8A" w:rsidRPr="0067669B">
          <w:rPr>
            <w:rStyle w:val="Lienhypertexte"/>
            <w:rFonts w:asciiTheme="minorHAnsi" w:hAnsiTheme="minorHAnsi"/>
            <w:noProof/>
            <w:color w:val="002060"/>
            <w:sz w:val="20"/>
            <w:szCs w:val="20"/>
          </w:rPr>
          <w:t>Derniers comptes annuels et situation comptables établis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_Toc529805655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2</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56" w:history="1">
        <w:r w:rsidR="00720D8A" w:rsidRPr="0067669B">
          <w:rPr>
            <w:rStyle w:val="Lienhypertexte"/>
            <w:rFonts w:asciiTheme="minorHAnsi" w:hAnsiTheme="minorHAnsi"/>
            <w:noProof/>
            <w:color w:val="002060"/>
            <w:sz w:val="20"/>
            <w:szCs w:val="20"/>
          </w:rPr>
          <w:t>Mesures de restructuration</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_Toc529805656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3</w:t>
        </w:r>
        <w:r w:rsidR="00720D8A" w:rsidRPr="0067669B">
          <w:rPr>
            <w:rFonts w:asciiTheme="minorHAnsi" w:hAnsiTheme="minorHAnsi"/>
            <w:noProof/>
            <w:webHidden/>
            <w:sz w:val="20"/>
            <w:szCs w:val="20"/>
          </w:rPr>
          <w:fldChar w:fldCharType="end"/>
        </w:r>
      </w:hyperlink>
    </w:p>
    <w:p w:rsidR="00720D8A" w:rsidRPr="0067669B" w:rsidRDefault="00040C66" w:rsidP="007B68E9">
      <w:pPr>
        <w:pStyle w:val="TM3"/>
        <w:tabs>
          <w:tab w:val="right" w:leader="dot" w:pos="9062"/>
        </w:tabs>
        <w:spacing w:after="30"/>
        <w:ind w:left="284"/>
        <w:rPr>
          <w:rFonts w:asciiTheme="minorHAnsi" w:hAnsiTheme="minorHAnsi"/>
          <w:i/>
          <w:iCs/>
          <w:noProof/>
          <w:color w:val="002060"/>
          <w:sz w:val="20"/>
          <w:szCs w:val="20"/>
        </w:rPr>
      </w:pPr>
      <w:hyperlink w:anchor="_Toc529805657" w:history="1">
        <w:r w:rsidR="00720D8A" w:rsidRPr="0067669B">
          <w:rPr>
            <w:rStyle w:val="Lienhypertexte"/>
            <w:rFonts w:asciiTheme="minorHAnsi" w:hAnsiTheme="minorHAnsi"/>
            <w:i/>
            <w:iCs/>
            <w:noProof/>
            <w:color w:val="002060"/>
            <w:sz w:val="20"/>
            <w:szCs w:val="20"/>
          </w:rPr>
          <w:t>. Modification de l’activité</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_Toc529805657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3</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7B68E9">
      <w:pPr>
        <w:pStyle w:val="TM3"/>
        <w:tabs>
          <w:tab w:val="right" w:leader="dot" w:pos="9062"/>
        </w:tabs>
        <w:spacing w:after="30"/>
        <w:ind w:left="284"/>
        <w:rPr>
          <w:rFonts w:asciiTheme="minorHAnsi" w:hAnsiTheme="minorHAnsi"/>
          <w:i/>
          <w:iCs/>
          <w:noProof/>
          <w:color w:val="002060"/>
          <w:sz w:val="20"/>
          <w:szCs w:val="20"/>
        </w:rPr>
      </w:pPr>
      <w:hyperlink w:anchor="_Toc529805658" w:history="1">
        <w:r w:rsidR="00720D8A" w:rsidRPr="0067669B">
          <w:rPr>
            <w:rStyle w:val="Lienhypertexte"/>
            <w:rFonts w:asciiTheme="minorHAnsi" w:hAnsiTheme="minorHAnsi"/>
            <w:i/>
            <w:iCs/>
            <w:noProof/>
            <w:color w:val="002060"/>
            <w:sz w:val="20"/>
            <w:szCs w:val="20"/>
          </w:rPr>
          <w:t>. Réduction d’effectifs</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_Toc529805658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3</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7B68E9">
      <w:pPr>
        <w:pStyle w:val="TM3"/>
        <w:tabs>
          <w:tab w:val="right" w:leader="dot" w:pos="9062"/>
        </w:tabs>
        <w:spacing w:after="30"/>
        <w:ind w:left="284"/>
        <w:rPr>
          <w:rFonts w:asciiTheme="minorHAnsi" w:hAnsiTheme="minorHAnsi"/>
          <w:i/>
          <w:iCs/>
          <w:noProof/>
          <w:color w:val="002060"/>
          <w:sz w:val="20"/>
          <w:szCs w:val="20"/>
        </w:rPr>
      </w:pPr>
      <w:hyperlink w:anchor="_Toc529805659" w:history="1">
        <w:r w:rsidR="00720D8A" w:rsidRPr="0067669B">
          <w:rPr>
            <w:rStyle w:val="Lienhypertexte"/>
            <w:rFonts w:asciiTheme="minorHAnsi" w:hAnsiTheme="minorHAnsi"/>
            <w:i/>
            <w:iCs/>
            <w:noProof/>
            <w:color w:val="002060"/>
            <w:sz w:val="20"/>
            <w:szCs w:val="20"/>
          </w:rPr>
          <w:t>. Réduction des autres charges</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_Toc529805659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3</w:t>
        </w:r>
        <w:r w:rsidR="00720D8A" w:rsidRPr="0067669B">
          <w:rPr>
            <w:rFonts w:asciiTheme="minorHAnsi" w:hAnsiTheme="minorHAnsi"/>
            <w:i/>
            <w:iCs/>
            <w:noProof/>
            <w:webHidden/>
            <w:color w:val="002060"/>
            <w:sz w:val="20"/>
            <w:szCs w:val="20"/>
          </w:rPr>
          <w:fldChar w:fldCharType="end"/>
        </w:r>
      </w:hyperlink>
    </w:p>
    <w:p w:rsidR="00720D8A" w:rsidRPr="0067669B" w:rsidRDefault="00040C66" w:rsidP="007B68E9">
      <w:pPr>
        <w:pStyle w:val="TM3"/>
        <w:tabs>
          <w:tab w:val="right" w:leader="dot" w:pos="9062"/>
        </w:tabs>
        <w:ind w:left="284"/>
        <w:rPr>
          <w:rFonts w:asciiTheme="minorHAnsi" w:hAnsiTheme="minorHAnsi"/>
          <w:i/>
          <w:iCs/>
          <w:noProof/>
          <w:color w:val="002060"/>
          <w:sz w:val="20"/>
          <w:szCs w:val="20"/>
        </w:rPr>
      </w:pPr>
      <w:hyperlink w:anchor="_Toc529805660" w:history="1">
        <w:r w:rsidR="00720D8A" w:rsidRPr="0067669B">
          <w:rPr>
            <w:rStyle w:val="Lienhypertexte"/>
            <w:rFonts w:asciiTheme="minorHAnsi" w:hAnsiTheme="minorHAnsi"/>
            <w:i/>
            <w:iCs/>
            <w:noProof/>
            <w:color w:val="002060"/>
            <w:sz w:val="20"/>
            <w:szCs w:val="20"/>
          </w:rPr>
          <w:t>. Economies réalisées</w:t>
        </w:r>
        <w:r w:rsidR="00720D8A" w:rsidRPr="0067669B">
          <w:rPr>
            <w:rFonts w:asciiTheme="minorHAnsi" w:hAnsiTheme="minorHAnsi"/>
            <w:i/>
            <w:iCs/>
            <w:noProof/>
            <w:webHidden/>
            <w:color w:val="002060"/>
            <w:sz w:val="20"/>
            <w:szCs w:val="20"/>
          </w:rPr>
          <w:tab/>
        </w:r>
        <w:r w:rsidR="00720D8A" w:rsidRPr="0067669B">
          <w:rPr>
            <w:rFonts w:asciiTheme="minorHAnsi" w:hAnsiTheme="minorHAnsi"/>
            <w:i/>
            <w:iCs/>
            <w:noProof/>
            <w:webHidden/>
            <w:color w:val="002060"/>
            <w:sz w:val="20"/>
            <w:szCs w:val="20"/>
          </w:rPr>
          <w:fldChar w:fldCharType="begin"/>
        </w:r>
        <w:r w:rsidR="00720D8A" w:rsidRPr="0067669B">
          <w:rPr>
            <w:rFonts w:asciiTheme="minorHAnsi" w:hAnsiTheme="minorHAnsi"/>
            <w:i/>
            <w:iCs/>
            <w:noProof/>
            <w:webHidden/>
            <w:color w:val="002060"/>
            <w:sz w:val="20"/>
            <w:szCs w:val="20"/>
          </w:rPr>
          <w:instrText xml:space="preserve"> PAGEREF _Toc529805660 \h </w:instrText>
        </w:r>
        <w:r w:rsidR="00720D8A" w:rsidRPr="0067669B">
          <w:rPr>
            <w:rFonts w:asciiTheme="minorHAnsi" w:hAnsiTheme="minorHAnsi"/>
            <w:i/>
            <w:iCs/>
            <w:noProof/>
            <w:webHidden/>
            <w:color w:val="002060"/>
            <w:sz w:val="20"/>
            <w:szCs w:val="20"/>
          </w:rPr>
        </w:r>
        <w:r w:rsidR="00720D8A" w:rsidRPr="0067669B">
          <w:rPr>
            <w:rFonts w:asciiTheme="minorHAnsi" w:hAnsiTheme="minorHAnsi"/>
            <w:i/>
            <w:iCs/>
            <w:noProof/>
            <w:webHidden/>
            <w:color w:val="002060"/>
            <w:sz w:val="20"/>
            <w:szCs w:val="20"/>
          </w:rPr>
          <w:fldChar w:fldCharType="separate"/>
        </w:r>
        <w:r w:rsidR="007B68E9" w:rsidRPr="0067669B">
          <w:rPr>
            <w:rFonts w:asciiTheme="minorHAnsi" w:hAnsiTheme="minorHAnsi"/>
            <w:i/>
            <w:iCs/>
            <w:noProof/>
            <w:webHidden/>
            <w:color w:val="002060"/>
            <w:sz w:val="20"/>
            <w:szCs w:val="20"/>
          </w:rPr>
          <w:t>3</w:t>
        </w:r>
        <w:r w:rsidR="00720D8A" w:rsidRPr="0067669B">
          <w:rPr>
            <w:rFonts w:asciiTheme="minorHAnsi" w:hAnsiTheme="minorHAnsi"/>
            <w:i/>
            <w:iCs/>
            <w:noProof/>
            <w:webHidden/>
            <w:color w:val="002060"/>
            <w:sz w:val="20"/>
            <w:szCs w:val="20"/>
          </w:rPr>
          <w:fldChar w:fldCharType="end"/>
        </w:r>
      </w:hyperlink>
    </w:p>
    <w:p w:rsidR="00720D8A" w:rsidRPr="0067669B" w:rsidRDefault="00720D8A" w:rsidP="00C91D24">
      <w:pPr>
        <w:pStyle w:val="TM1"/>
        <w:tabs>
          <w:tab w:val="left" w:pos="6379"/>
        </w:tabs>
        <w:rPr>
          <w:rStyle w:val="Lienhypertexte"/>
          <w:rFonts w:asciiTheme="minorHAnsi" w:hAnsiTheme="minorHAnsi"/>
          <w:color w:val="002060"/>
          <w:sz w:val="20"/>
          <w:szCs w:val="20"/>
        </w:rPr>
      </w:pPr>
    </w:p>
    <w:p w:rsidR="00720D8A" w:rsidRPr="0067669B" w:rsidRDefault="00040C66" w:rsidP="00034C73">
      <w:pPr>
        <w:pStyle w:val="TM1"/>
        <w:spacing w:after="60"/>
        <w:rPr>
          <w:rFonts w:asciiTheme="minorHAnsi" w:hAnsiTheme="minorHAnsi"/>
          <w:sz w:val="20"/>
          <w:szCs w:val="20"/>
        </w:rPr>
      </w:pPr>
      <w:hyperlink w:anchor="_Toc529805661" w:history="1">
        <w:r w:rsidR="00720D8A" w:rsidRPr="0067669B">
          <w:rPr>
            <w:rStyle w:val="Lienhypertexte"/>
            <w:rFonts w:asciiTheme="minorHAnsi" w:hAnsiTheme="minorHAnsi"/>
            <w:color w:val="002060"/>
            <w:sz w:val="20"/>
            <w:szCs w:val="20"/>
          </w:rPr>
          <w:t>2. PREVISIONS D'ACTIVITE</w:t>
        </w:r>
        <w:r w:rsidR="00720D8A" w:rsidRPr="0067669B">
          <w:rPr>
            <w:rFonts w:asciiTheme="minorHAnsi" w:hAnsiTheme="minorHAnsi"/>
            <w:webHidden/>
            <w:sz w:val="20"/>
            <w:szCs w:val="20"/>
          </w:rPr>
          <w:tab/>
        </w:r>
        <w:r w:rsidR="00720D8A" w:rsidRPr="0067669B">
          <w:rPr>
            <w:rFonts w:asciiTheme="minorHAnsi" w:hAnsiTheme="minorHAnsi"/>
            <w:webHidden/>
            <w:sz w:val="20"/>
            <w:szCs w:val="20"/>
          </w:rPr>
          <w:fldChar w:fldCharType="begin"/>
        </w:r>
        <w:r w:rsidR="00720D8A" w:rsidRPr="0067669B">
          <w:rPr>
            <w:rFonts w:asciiTheme="minorHAnsi" w:hAnsiTheme="minorHAnsi"/>
            <w:webHidden/>
            <w:sz w:val="20"/>
            <w:szCs w:val="20"/>
          </w:rPr>
          <w:instrText xml:space="preserve"> PAGEREF _Toc529805661 \h </w:instrText>
        </w:r>
        <w:r w:rsidR="00720D8A" w:rsidRPr="0067669B">
          <w:rPr>
            <w:rFonts w:asciiTheme="minorHAnsi" w:hAnsiTheme="minorHAnsi"/>
            <w:webHidden/>
            <w:sz w:val="20"/>
            <w:szCs w:val="20"/>
          </w:rPr>
        </w:r>
        <w:r w:rsidR="00720D8A" w:rsidRPr="0067669B">
          <w:rPr>
            <w:rFonts w:asciiTheme="minorHAnsi" w:hAnsiTheme="minorHAnsi"/>
            <w:webHidden/>
            <w:sz w:val="20"/>
            <w:szCs w:val="20"/>
          </w:rPr>
          <w:fldChar w:fldCharType="separate"/>
        </w:r>
        <w:r w:rsidR="007B68E9" w:rsidRPr="0067669B">
          <w:rPr>
            <w:rFonts w:asciiTheme="minorHAnsi" w:hAnsiTheme="minorHAnsi"/>
            <w:webHidden/>
            <w:sz w:val="20"/>
            <w:szCs w:val="20"/>
          </w:rPr>
          <w:t>3</w:t>
        </w:r>
        <w:r w:rsidR="00720D8A" w:rsidRPr="0067669B">
          <w:rPr>
            <w:rFonts w:asciiTheme="minorHAnsi" w:hAnsiTheme="minorHAnsi"/>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2" w:history="1">
        <w:r w:rsidR="00720D8A" w:rsidRPr="0067669B">
          <w:rPr>
            <w:rStyle w:val="Lienhypertexte"/>
            <w:rFonts w:asciiTheme="minorHAnsi" w:hAnsiTheme="minorHAnsi"/>
            <w:noProof/>
            <w:color w:val="002060"/>
            <w:sz w:val="20"/>
            <w:szCs w:val="20"/>
          </w:rPr>
          <w:t>. Ventes, Chiffre d’affaires et marges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_Toc529805662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3</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3" w:history="1">
        <w:r w:rsidR="00720D8A" w:rsidRPr="0067669B">
          <w:rPr>
            <w:rStyle w:val="Lienhypertexte"/>
            <w:rFonts w:asciiTheme="minorHAnsi" w:hAnsiTheme="minorHAnsi"/>
            <w:noProof/>
            <w:color w:val="002060"/>
            <w:sz w:val="20"/>
            <w:szCs w:val="20"/>
          </w:rPr>
          <w:t>. Charges fixes externes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_Toc529805663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4</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4" w:history="1">
        <w:r w:rsidR="00720D8A" w:rsidRPr="0067669B">
          <w:rPr>
            <w:rStyle w:val="Lienhypertexte"/>
            <w:rFonts w:asciiTheme="minorHAnsi" w:hAnsiTheme="minorHAnsi"/>
            <w:noProof/>
            <w:color w:val="002060"/>
            <w:sz w:val="20"/>
            <w:szCs w:val="20"/>
          </w:rPr>
          <w:t>. Charges de personnel</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_Toc529805664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4</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5" w:history="1">
        <w:r w:rsidR="007B68E9" w:rsidRPr="0067669B">
          <w:rPr>
            <w:rStyle w:val="Lienhypertexte"/>
            <w:rFonts w:asciiTheme="minorHAnsi" w:hAnsiTheme="minorHAnsi"/>
            <w:noProof/>
            <w:color w:val="002060"/>
            <w:sz w:val="20"/>
            <w:szCs w:val="20"/>
          </w:rPr>
          <w:t xml:space="preserve">. </w:t>
        </w:r>
        <w:r w:rsidR="00720D8A" w:rsidRPr="0067669B">
          <w:rPr>
            <w:rStyle w:val="Lienhypertexte"/>
            <w:rFonts w:asciiTheme="minorHAnsi" w:hAnsiTheme="minorHAnsi"/>
            <w:noProof/>
            <w:color w:val="002060"/>
            <w:sz w:val="20"/>
            <w:szCs w:val="20"/>
          </w:rPr>
          <w:t>Impôts, taxes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_Toc529805665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5</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6" w:history="1">
        <w:r w:rsidR="007B68E9" w:rsidRPr="0067669B">
          <w:rPr>
            <w:rStyle w:val="Lienhypertexte"/>
            <w:rFonts w:asciiTheme="minorHAnsi" w:hAnsiTheme="minorHAnsi"/>
            <w:noProof/>
            <w:color w:val="002060"/>
            <w:sz w:val="20"/>
            <w:szCs w:val="20"/>
          </w:rPr>
          <w:t>.</w:t>
        </w:r>
        <w:r w:rsidR="00720D8A" w:rsidRPr="0067669B">
          <w:rPr>
            <w:rStyle w:val="Lienhypertexte"/>
            <w:rFonts w:asciiTheme="minorHAnsi" w:hAnsiTheme="minorHAnsi"/>
            <w:noProof/>
            <w:color w:val="002060"/>
            <w:sz w:val="20"/>
            <w:szCs w:val="20"/>
          </w:rPr>
          <w:t xml:space="preserve"> Dotation aux amortissements et provisions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_Toc529805666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5</w:t>
        </w:r>
        <w:r w:rsidR="00720D8A" w:rsidRPr="0067669B">
          <w:rPr>
            <w:rFonts w:asciiTheme="minorHAnsi" w:hAnsiTheme="minorHAnsi"/>
            <w:noProof/>
            <w:webHidden/>
            <w:sz w:val="20"/>
            <w:szCs w:val="20"/>
          </w:rPr>
          <w:fldChar w:fldCharType="end"/>
        </w:r>
      </w:hyperlink>
    </w:p>
    <w:p w:rsidR="00720D8A" w:rsidRPr="0067669B" w:rsidRDefault="00720D8A" w:rsidP="007C68CB">
      <w:pPr>
        <w:pStyle w:val="TM1"/>
        <w:rPr>
          <w:rStyle w:val="Lienhypertexte"/>
          <w:rFonts w:asciiTheme="minorHAnsi" w:hAnsiTheme="minorHAnsi"/>
          <w:color w:val="002060"/>
          <w:sz w:val="20"/>
          <w:szCs w:val="20"/>
        </w:rPr>
      </w:pPr>
    </w:p>
    <w:p w:rsidR="00720D8A" w:rsidRPr="0067669B" w:rsidRDefault="00040C66" w:rsidP="00034C73">
      <w:pPr>
        <w:pStyle w:val="TM1"/>
        <w:spacing w:after="60"/>
        <w:rPr>
          <w:rFonts w:asciiTheme="minorHAnsi" w:hAnsiTheme="minorHAnsi"/>
          <w:sz w:val="20"/>
          <w:szCs w:val="20"/>
        </w:rPr>
      </w:pPr>
      <w:hyperlink w:anchor="_Toc529805667" w:history="1">
        <w:r w:rsidR="00720D8A" w:rsidRPr="0067669B">
          <w:rPr>
            <w:rStyle w:val="Lienhypertexte"/>
            <w:rFonts w:asciiTheme="minorHAnsi" w:hAnsiTheme="minorHAnsi"/>
            <w:color w:val="002060"/>
            <w:sz w:val="20"/>
            <w:szCs w:val="20"/>
          </w:rPr>
          <w:t>3. PREVISIONS DE TRESORERIE</w:t>
        </w:r>
        <w:r w:rsidR="00720D8A" w:rsidRPr="0067669B">
          <w:rPr>
            <w:rFonts w:asciiTheme="minorHAnsi" w:hAnsiTheme="minorHAnsi"/>
            <w:webHidden/>
            <w:sz w:val="20"/>
            <w:szCs w:val="20"/>
          </w:rPr>
          <w:tab/>
        </w:r>
        <w:r w:rsidR="00720D8A" w:rsidRPr="0067669B">
          <w:rPr>
            <w:rFonts w:asciiTheme="minorHAnsi" w:hAnsiTheme="minorHAnsi"/>
            <w:webHidden/>
            <w:sz w:val="20"/>
            <w:szCs w:val="20"/>
          </w:rPr>
          <w:fldChar w:fldCharType="begin"/>
        </w:r>
        <w:r w:rsidR="00720D8A" w:rsidRPr="0067669B">
          <w:rPr>
            <w:rFonts w:asciiTheme="minorHAnsi" w:hAnsiTheme="minorHAnsi"/>
            <w:webHidden/>
            <w:sz w:val="20"/>
            <w:szCs w:val="20"/>
          </w:rPr>
          <w:instrText xml:space="preserve"> PAGEREF _Toc529805667 \h </w:instrText>
        </w:r>
        <w:r w:rsidR="00720D8A" w:rsidRPr="0067669B">
          <w:rPr>
            <w:rFonts w:asciiTheme="minorHAnsi" w:hAnsiTheme="minorHAnsi"/>
            <w:webHidden/>
            <w:sz w:val="20"/>
            <w:szCs w:val="20"/>
          </w:rPr>
        </w:r>
        <w:r w:rsidR="00720D8A" w:rsidRPr="0067669B">
          <w:rPr>
            <w:rFonts w:asciiTheme="minorHAnsi" w:hAnsiTheme="minorHAnsi"/>
            <w:webHidden/>
            <w:sz w:val="20"/>
            <w:szCs w:val="20"/>
          </w:rPr>
          <w:fldChar w:fldCharType="separate"/>
        </w:r>
        <w:r w:rsidR="007B68E9" w:rsidRPr="0067669B">
          <w:rPr>
            <w:rFonts w:asciiTheme="minorHAnsi" w:hAnsiTheme="minorHAnsi"/>
            <w:webHidden/>
            <w:sz w:val="20"/>
            <w:szCs w:val="20"/>
          </w:rPr>
          <w:t>5</w:t>
        </w:r>
        <w:r w:rsidR="00720D8A" w:rsidRPr="0067669B">
          <w:rPr>
            <w:rFonts w:asciiTheme="minorHAnsi" w:hAnsiTheme="minorHAnsi"/>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8" w:history="1">
        <w:r w:rsidR="007B68E9" w:rsidRPr="0067669B">
          <w:rPr>
            <w:rStyle w:val="Lienhypertexte"/>
            <w:rFonts w:asciiTheme="minorHAnsi" w:hAnsiTheme="minorHAnsi"/>
            <w:noProof/>
            <w:color w:val="002060"/>
            <w:sz w:val="20"/>
            <w:szCs w:val="20"/>
          </w:rPr>
          <w:t>.</w:t>
        </w:r>
        <w:r w:rsidR="00720D8A" w:rsidRPr="0067669B">
          <w:rPr>
            <w:rStyle w:val="Lienhypertexte"/>
            <w:rFonts w:asciiTheme="minorHAnsi" w:hAnsiTheme="minorHAnsi"/>
            <w:noProof/>
            <w:color w:val="002060"/>
            <w:sz w:val="20"/>
            <w:szCs w:val="20"/>
          </w:rPr>
          <w:t xml:space="preserve"> Trésorerie et actifs initiaux</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_Toc529805668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5</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69" w:history="1">
        <w:r w:rsidR="007B68E9" w:rsidRPr="0067669B">
          <w:rPr>
            <w:rStyle w:val="Lienhypertexte"/>
            <w:rFonts w:asciiTheme="minorHAnsi" w:hAnsiTheme="minorHAnsi"/>
            <w:noProof/>
            <w:color w:val="002060"/>
            <w:sz w:val="20"/>
            <w:szCs w:val="20"/>
          </w:rPr>
          <w:t>.</w:t>
        </w:r>
        <w:r w:rsidR="00720D8A" w:rsidRPr="0067669B">
          <w:rPr>
            <w:rStyle w:val="Lienhypertexte"/>
            <w:rFonts w:asciiTheme="minorHAnsi" w:hAnsiTheme="minorHAnsi"/>
            <w:noProof/>
            <w:color w:val="002060"/>
            <w:sz w:val="20"/>
            <w:szCs w:val="20"/>
          </w:rPr>
          <w:t xml:space="preserve"> Encaissements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_Toc529805669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6</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70" w:history="1">
        <w:r w:rsidR="007B68E9" w:rsidRPr="0067669B">
          <w:rPr>
            <w:rStyle w:val="Lienhypertexte"/>
            <w:rFonts w:asciiTheme="minorHAnsi" w:hAnsiTheme="minorHAnsi"/>
            <w:noProof/>
            <w:color w:val="002060"/>
            <w:sz w:val="20"/>
            <w:szCs w:val="20"/>
          </w:rPr>
          <w:t>.</w:t>
        </w:r>
        <w:r w:rsidR="00720D8A" w:rsidRPr="0067669B">
          <w:rPr>
            <w:rStyle w:val="Lienhypertexte"/>
            <w:rFonts w:asciiTheme="minorHAnsi" w:hAnsiTheme="minorHAnsi"/>
            <w:noProof/>
            <w:color w:val="002060"/>
            <w:sz w:val="20"/>
            <w:szCs w:val="20"/>
          </w:rPr>
          <w:t xml:space="preserve"> Décaissements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_Toc529805670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6</w:t>
        </w:r>
        <w:r w:rsidR="00720D8A" w:rsidRPr="0067669B">
          <w:rPr>
            <w:rFonts w:asciiTheme="minorHAnsi" w:hAnsiTheme="minorHAnsi"/>
            <w:noProof/>
            <w:webHidden/>
            <w:sz w:val="20"/>
            <w:szCs w:val="20"/>
          </w:rPr>
          <w:fldChar w:fldCharType="end"/>
        </w:r>
      </w:hyperlink>
    </w:p>
    <w:p w:rsidR="00720D8A" w:rsidRPr="0067669B" w:rsidRDefault="00040C66" w:rsidP="00C91D24">
      <w:pPr>
        <w:pStyle w:val="TM2"/>
        <w:rPr>
          <w:rFonts w:asciiTheme="minorHAnsi" w:hAnsiTheme="minorHAnsi"/>
          <w:noProof/>
          <w:sz w:val="20"/>
          <w:szCs w:val="20"/>
        </w:rPr>
      </w:pPr>
      <w:hyperlink w:anchor="_Toc529805671" w:history="1">
        <w:r w:rsidR="007B68E9" w:rsidRPr="0067669B">
          <w:rPr>
            <w:rStyle w:val="Lienhypertexte"/>
            <w:rFonts w:asciiTheme="minorHAnsi" w:hAnsiTheme="minorHAnsi"/>
            <w:noProof/>
            <w:color w:val="002060"/>
            <w:sz w:val="20"/>
            <w:szCs w:val="20"/>
          </w:rPr>
          <w:t>.</w:t>
        </w:r>
        <w:r w:rsidR="00720D8A" w:rsidRPr="0067669B">
          <w:rPr>
            <w:rStyle w:val="Lienhypertexte"/>
            <w:rFonts w:asciiTheme="minorHAnsi" w:hAnsiTheme="minorHAnsi"/>
            <w:noProof/>
            <w:color w:val="002060"/>
            <w:sz w:val="20"/>
            <w:szCs w:val="20"/>
          </w:rPr>
          <w:t xml:space="preserve"> Financements</w:t>
        </w:r>
        <w:r w:rsidR="00720D8A" w:rsidRPr="0067669B">
          <w:rPr>
            <w:rFonts w:asciiTheme="minorHAnsi" w:hAnsiTheme="minorHAnsi"/>
            <w:noProof/>
            <w:webHidden/>
            <w:sz w:val="20"/>
            <w:szCs w:val="20"/>
          </w:rPr>
          <w:tab/>
        </w:r>
        <w:r w:rsidR="00720D8A" w:rsidRPr="0067669B">
          <w:rPr>
            <w:rFonts w:asciiTheme="minorHAnsi" w:hAnsiTheme="minorHAnsi"/>
            <w:noProof/>
            <w:webHidden/>
            <w:sz w:val="20"/>
            <w:szCs w:val="20"/>
          </w:rPr>
          <w:fldChar w:fldCharType="begin"/>
        </w:r>
        <w:r w:rsidR="00720D8A" w:rsidRPr="0067669B">
          <w:rPr>
            <w:rFonts w:asciiTheme="minorHAnsi" w:hAnsiTheme="minorHAnsi"/>
            <w:noProof/>
            <w:webHidden/>
            <w:sz w:val="20"/>
            <w:szCs w:val="20"/>
          </w:rPr>
          <w:instrText xml:space="preserve"> PAGEREF _Toc529805671 \h </w:instrText>
        </w:r>
        <w:r w:rsidR="00720D8A" w:rsidRPr="0067669B">
          <w:rPr>
            <w:rFonts w:asciiTheme="minorHAnsi" w:hAnsiTheme="minorHAnsi"/>
            <w:noProof/>
            <w:webHidden/>
            <w:sz w:val="20"/>
            <w:szCs w:val="20"/>
          </w:rPr>
        </w:r>
        <w:r w:rsidR="00720D8A" w:rsidRPr="0067669B">
          <w:rPr>
            <w:rFonts w:asciiTheme="minorHAnsi" w:hAnsiTheme="minorHAnsi"/>
            <w:noProof/>
            <w:webHidden/>
            <w:sz w:val="20"/>
            <w:szCs w:val="20"/>
          </w:rPr>
          <w:fldChar w:fldCharType="separate"/>
        </w:r>
        <w:r w:rsidR="007B68E9" w:rsidRPr="0067669B">
          <w:rPr>
            <w:rFonts w:asciiTheme="minorHAnsi" w:hAnsiTheme="minorHAnsi"/>
            <w:noProof/>
            <w:webHidden/>
            <w:sz w:val="20"/>
            <w:szCs w:val="20"/>
          </w:rPr>
          <w:t>6</w:t>
        </w:r>
        <w:r w:rsidR="00720D8A" w:rsidRPr="0067669B">
          <w:rPr>
            <w:rFonts w:asciiTheme="minorHAnsi" w:hAnsiTheme="minorHAnsi"/>
            <w:noProof/>
            <w:webHidden/>
            <w:sz w:val="20"/>
            <w:szCs w:val="20"/>
          </w:rPr>
          <w:fldChar w:fldCharType="end"/>
        </w:r>
      </w:hyperlink>
    </w:p>
    <w:p w:rsidR="00720D8A" w:rsidRPr="0067669B" w:rsidRDefault="00720D8A" w:rsidP="007C68CB">
      <w:pPr>
        <w:pStyle w:val="TM1"/>
        <w:rPr>
          <w:rStyle w:val="Lienhypertexte"/>
          <w:rFonts w:asciiTheme="minorHAnsi" w:hAnsiTheme="minorHAnsi"/>
          <w:color w:val="002060"/>
          <w:sz w:val="20"/>
          <w:szCs w:val="20"/>
        </w:rPr>
      </w:pPr>
    </w:p>
    <w:p w:rsidR="00720D8A" w:rsidRPr="0067669B" w:rsidRDefault="00040C66" w:rsidP="007C68CB">
      <w:pPr>
        <w:pStyle w:val="TM1"/>
        <w:rPr>
          <w:rFonts w:asciiTheme="minorHAnsi" w:hAnsiTheme="minorHAnsi"/>
          <w:sz w:val="20"/>
          <w:szCs w:val="20"/>
        </w:rPr>
      </w:pPr>
      <w:hyperlink w:anchor="_Toc529805672" w:history="1">
        <w:r w:rsidR="00720D8A" w:rsidRPr="0067669B">
          <w:rPr>
            <w:rStyle w:val="Lienhypertexte"/>
            <w:rFonts w:asciiTheme="minorHAnsi" w:hAnsiTheme="minorHAnsi"/>
            <w:color w:val="002060"/>
            <w:sz w:val="20"/>
            <w:szCs w:val="20"/>
          </w:rPr>
          <w:t>4. SYNTHESE</w:t>
        </w:r>
        <w:r w:rsidR="00720D8A" w:rsidRPr="0067669B">
          <w:rPr>
            <w:rFonts w:asciiTheme="minorHAnsi" w:hAnsiTheme="minorHAnsi"/>
            <w:webHidden/>
            <w:sz w:val="20"/>
            <w:szCs w:val="20"/>
          </w:rPr>
          <w:tab/>
        </w:r>
        <w:r w:rsidR="00720D8A" w:rsidRPr="0067669B">
          <w:rPr>
            <w:rFonts w:asciiTheme="minorHAnsi" w:hAnsiTheme="minorHAnsi"/>
            <w:webHidden/>
            <w:sz w:val="20"/>
            <w:szCs w:val="20"/>
          </w:rPr>
          <w:fldChar w:fldCharType="begin"/>
        </w:r>
        <w:r w:rsidR="00720D8A" w:rsidRPr="0067669B">
          <w:rPr>
            <w:rFonts w:asciiTheme="minorHAnsi" w:hAnsiTheme="minorHAnsi"/>
            <w:webHidden/>
            <w:sz w:val="20"/>
            <w:szCs w:val="20"/>
          </w:rPr>
          <w:instrText xml:space="preserve"> PAGEREF _Toc529805672 \h </w:instrText>
        </w:r>
        <w:r w:rsidR="00720D8A" w:rsidRPr="0067669B">
          <w:rPr>
            <w:rFonts w:asciiTheme="minorHAnsi" w:hAnsiTheme="minorHAnsi"/>
            <w:webHidden/>
            <w:sz w:val="20"/>
            <w:szCs w:val="20"/>
          </w:rPr>
        </w:r>
        <w:r w:rsidR="00720D8A" w:rsidRPr="0067669B">
          <w:rPr>
            <w:rFonts w:asciiTheme="minorHAnsi" w:hAnsiTheme="minorHAnsi"/>
            <w:webHidden/>
            <w:sz w:val="20"/>
            <w:szCs w:val="20"/>
          </w:rPr>
          <w:fldChar w:fldCharType="separate"/>
        </w:r>
        <w:r w:rsidR="007B68E9" w:rsidRPr="0067669B">
          <w:rPr>
            <w:rFonts w:asciiTheme="minorHAnsi" w:hAnsiTheme="minorHAnsi"/>
            <w:webHidden/>
            <w:sz w:val="20"/>
            <w:szCs w:val="20"/>
          </w:rPr>
          <w:t>6</w:t>
        </w:r>
        <w:r w:rsidR="00720D8A" w:rsidRPr="0067669B">
          <w:rPr>
            <w:rFonts w:asciiTheme="minorHAnsi" w:hAnsiTheme="minorHAnsi"/>
            <w:webHidden/>
            <w:sz w:val="20"/>
            <w:szCs w:val="20"/>
          </w:rPr>
          <w:fldChar w:fldCharType="end"/>
        </w:r>
      </w:hyperlink>
    </w:p>
    <w:p w:rsidR="00720D8A" w:rsidRPr="0067669B" w:rsidRDefault="00720D8A" w:rsidP="007C68CB">
      <w:pPr>
        <w:pStyle w:val="TM1"/>
        <w:rPr>
          <w:rStyle w:val="Lienhypertexte"/>
          <w:rFonts w:asciiTheme="minorHAnsi" w:hAnsiTheme="minorHAnsi"/>
          <w:color w:val="002060"/>
          <w:sz w:val="20"/>
          <w:szCs w:val="20"/>
        </w:rPr>
      </w:pPr>
    </w:p>
    <w:p w:rsidR="00720D8A" w:rsidRPr="0067669B" w:rsidRDefault="00040C66" w:rsidP="007C68CB">
      <w:pPr>
        <w:pStyle w:val="TM1"/>
        <w:rPr>
          <w:rFonts w:asciiTheme="minorHAnsi" w:hAnsiTheme="minorHAnsi"/>
          <w:sz w:val="20"/>
          <w:szCs w:val="20"/>
        </w:rPr>
      </w:pPr>
      <w:hyperlink w:anchor="_Toc529805673" w:history="1">
        <w:r w:rsidR="00720D8A" w:rsidRPr="0067669B">
          <w:rPr>
            <w:rStyle w:val="Lienhypertexte"/>
            <w:rFonts w:asciiTheme="minorHAnsi" w:hAnsiTheme="minorHAnsi"/>
            <w:color w:val="002060"/>
            <w:sz w:val="20"/>
            <w:szCs w:val="20"/>
          </w:rPr>
          <w:t>5. ANNEXES</w:t>
        </w:r>
        <w:r w:rsidR="00720D8A" w:rsidRPr="0067669B">
          <w:rPr>
            <w:rFonts w:asciiTheme="minorHAnsi" w:hAnsiTheme="minorHAnsi"/>
            <w:webHidden/>
            <w:sz w:val="20"/>
            <w:szCs w:val="20"/>
          </w:rPr>
          <w:tab/>
        </w:r>
        <w:r w:rsidR="00720D8A" w:rsidRPr="0067669B">
          <w:rPr>
            <w:rFonts w:asciiTheme="minorHAnsi" w:hAnsiTheme="minorHAnsi"/>
            <w:webHidden/>
            <w:sz w:val="20"/>
            <w:szCs w:val="20"/>
          </w:rPr>
          <w:fldChar w:fldCharType="begin"/>
        </w:r>
        <w:r w:rsidR="00720D8A" w:rsidRPr="0067669B">
          <w:rPr>
            <w:rFonts w:asciiTheme="minorHAnsi" w:hAnsiTheme="minorHAnsi"/>
            <w:webHidden/>
            <w:sz w:val="20"/>
            <w:szCs w:val="20"/>
          </w:rPr>
          <w:instrText xml:space="preserve"> PAGEREF _Toc529805673 \h </w:instrText>
        </w:r>
        <w:r w:rsidR="00720D8A" w:rsidRPr="0067669B">
          <w:rPr>
            <w:rFonts w:asciiTheme="minorHAnsi" w:hAnsiTheme="minorHAnsi"/>
            <w:webHidden/>
            <w:sz w:val="20"/>
            <w:szCs w:val="20"/>
          </w:rPr>
        </w:r>
        <w:r w:rsidR="00720D8A" w:rsidRPr="0067669B">
          <w:rPr>
            <w:rFonts w:asciiTheme="minorHAnsi" w:hAnsiTheme="minorHAnsi"/>
            <w:webHidden/>
            <w:sz w:val="20"/>
            <w:szCs w:val="20"/>
          </w:rPr>
          <w:fldChar w:fldCharType="separate"/>
        </w:r>
        <w:r w:rsidR="007B68E9" w:rsidRPr="0067669B">
          <w:rPr>
            <w:rFonts w:asciiTheme="minorHAnsi" w:hAnsiTheme="minorHAnsi"/>
            <w:webHidden/>
            <w:sz w:val="20"/>
            <w:szCs w:val="20"/>
          </w:rPr>
          <w:t>6</w:t>
        </w:r>
        <w:r w:rsidR="00720D8A" w:rsidRPr="0067669B">
          <w:rPr>
            <w:rFonts w:asciiTheme="minorHAnsi" w:hAnsiTheme="minorHAnsi"/>
            <w:webHidden/>
            <w:sz w:val="20"/>
            <w:szCs w:val="20"/>
          </w:rPr>
          <w:fldChar w:fldCharType="end"/>
        </w:r>
      </w:hyperlink>
    </w:p>
    <w:p w:rsidR="00720D8A" w:rsidRPr="000A233D" w:rsidRDefault="00720D8A">
      <w:pPr>
        <w:jc w:val="both"/>
        <w:rPr>
          <w:rFonts w:ascii="Calibri" w:hAnsi="Calibri"/>
          <w:color w:val="002060"/>
          <w:sz w:val="20"/>
          <w:szCs w:val="20"/>
        </w:rPr>
      </w:pPr>
      <w:r w:rsidRPr="0067669B">
        <w:rPr>
          <w:rFonts w:asciiTheme="minorHAnsi" w:hAnsiTheme="minorHAnsi"/>
          <w:color w:val="002060"/>
          <w:sz w:val="20"/>
          <w:szCs w:val="20"/>
        </w:rPr>
        <w:fldChar w:fldCharType="end"/>
      </w:r>
    </w:p>
    <w:p w:rsidR="00720D8A" w:rsidRPr="000A233D" w:rsidRDefault="00720D8A">
      <w:pPr>
        <w:jc w:val="both"/>
        <w:rPr>
          <w:rFonts w:ascii="Calibri" w:hAnsi="Calibri"/>
          <w:color w:val="002060"/>
          <w:sz w:val="20"/>
          <w:szCs w:val="20"/>
        </w:rPr>
      </w:pPr>
    </w:p>
    <w:p w:rsidR="00720D8A" w:rsidRPr="000A233D" w:rsidRDefault="00720D8A">
      <w:pPr>
        <w:jc w:val="both"/>
        <w:rPr>
          <w:rFonts w:ascii="Calibri" w:hAnsi="Calibri"/>
          <w:color w:val="002060"/>
          <w:sz w:val="20"/>
          <w:szCs w:val="20"/>
        </w:rPr>
      </w:pPr>
    </w:p>
    <w:p w:rsidR="00720D8A" w:rsidRPr="000A233D" w:rsidRDefault="00720D8A">
      <w:pPr>
        <w:jc w:val="both"/>
        <w:rPr>
          <w:rFonts w:ascii="Calibri" w:hAnsi="Calibri"/>
          <w:color w:val="002060"/>
          <w:sz w:val="20"/>
          <w:szCs w:val="20"/>
        </w:rPr>
      </w:pPr>
      <w:r w:rsidRPr="000A233D">
        <w:rPr>
          <w:rFonts w:ascii="Calibri" w:hAnsi="Calibri"/>
          <w:color w:val="002060"/>
          <w:sz w:val="20"/>
          <w:szCs w:val="20"/>
        </w:rPr>
        <w:br w:type="page"/>
      </w:r>
    </w:p>
    <w:p w:rsidR="00720D8A" w:rsidRPr="00040C66" w:rsidRDefault="00EC21CB">
      <w:pPr>
        <w:pStyle w:val="Titre1"/>
        <w:jc w:val="both"/>
        <w:rPr>
          <w:rFonts w:ascii="Calibri" w:hAnsi="Calibri"/>
          <w:color w:val="002060"/>
          <w:sz w:val="21"/>
          <w:szCs w:val="21"/>
        </w:rPr>
      </w:pPr>
      <w:bookmarkStart w:id="0" w:name="_Toc529805649"/>
      <w:r w:rsidRPr="00040C66">
        <w:rPr>
          <w:rFonts w:ascii="Calibri" w:hAnsi="Calibri"/>
          <w:color w:val="002060"/>
          <w:sz w:val="21"/>
          <w:szCs w:val="21"/>
        </w:rPr>
        <w:lastRenderedPageBreak/>
        <w:t xml:space="preserve">1. </w:t>
      </w:r>
      <w:r w:rsidR="00720D8A" w:rsidRPr="00040C66">
        <w:rPr>
          <w:rFonts w:ascii="Calibri" w:hAnsi="Calibri"/>
          <w:color w:val="002060"/>
          <w:sz w:val="21"/>
          <w:szCs w:val="21"/>
        </w:rPr>
        <w:t>PRESENTATION DE L'ENTREPRISE</w:t>
      </w:r>
      <w:bookmarkEnd w:id="0"/>
    </w:p>
    <w:p w:rsidR="00720D8A" w:rsidRPr="00040C66" w:rsidRDefault="00720D8A" w:rsidP="00AD735D">
      <w:pPr>
        <w:pStyle w:val="Titre2"/>
        <w:spacing w:before="120"/>
        <w:jc w:val="both"/>
        <w:rPr>
          <w:rFonts w:ascii="Calibri" w:hAnsi="Calibri"/>
          <w:color w:val="002060"/>
          <w:sz w:val="21"/>
          <w:szCs w:val="21"/>
        </w:rPr>
      </w:pPr>
      <w:bookmarkStart w:id="1" w:name="_Toc529805650"/>
      <w:r w:rsidRPr="00040C66">
        <w:rPr>
          <w:rFonts w:ascii="Calibri" w:hAnsi="Calibri"/>
          <w:color w:val="002060"/>
          <w:sz w:val="21"/>
          <w:szCs w:val="21"/>
        </w:rPr>
        <w:t>Activité et historique</w:t>
      </w:r>
      <w:bookmarkEnd w:id="1"/>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Une analyse succincte des principaux éléments de l’entreprise : forme, dirigeant, localisation(s) géographique</w:t>
      </w:r>
      <w:r w:rsidR="00016B6A">
        <w:rPr>
          <w:rFonts w:ascii="Calibri" w:hAnsi="Calibri"/>
          <w:color w:val="002060"/>
          <w:sz w:val="20"/>
          <w:szCs w:val="20"/>
        </w:rPr>
        <w:t>(s)</w:t>
      </w:r>
      <w:r w:rsidRPr="000A233D">
        <w:rPr>
          <w:rFonts w:ascii="Calibri" w:hAnsi="Calibri"/>
          <w:color w:val="002060"/>
          <w:sz w:val="20"/>
          <w:szCs w:val="20"/>
        </w:rPr>
        <w:t>, activité et secteur auquel elle appartient, particularités de l’entreprise, permet d’appréhender le contexte général de l’entreprise.</w:t>
      </w:r>
    </w:p>
    <w:p w:rsidR="00720D8A" w:rsidRPr="000A233D" w:rsidRDefault="00720D8A">
      <w:pPr>
        <w:jc w:val="both"/>
        <w:rPr>
          <w:rFonts w:ascii="Calibri" w:hAnsi="Calibri"/>
          <w:color w:val="002060"/>
          <w:sz w:val="20"/>
          <w:szCs w:val="20"/>
        </w:rPr>
      </w:pPr>
      <w:r w:rsidRPr="000A233D">
        <w:rPr>
          <w:rFonts w:ascii="Calibri" w:hAnsi="Calibri"/>
          <w:color w:val="002060"/>
          <w:sz w:val="20"/>
          <w:szCs w:val="20"/>
        </w:rPr>
        <w:t>Le niveau d’analyse est adapté au contexte du business plan d’une part (création d’entreprise ou  poursuite d’activité) et au destinataire du rapport d’autre part.</w:t>
      </w:r>
    </w:p>
    <w:p w:rsidR="00720D8A" w:rsidRPr="00040C66" w:rsidRDefault="00720D8A" w:rsidP="00570C56">
      <w:pPr>
        <w:pStyle w:val="Titre2"/>
        <w:spacing w:before="120"/>
        <w:jc w:val="both"/>
        <w:rPr>
          <w:rFonts w:ascii="Calibri" w:hAnsi="Calibri"/>
          <w:color w:val="002060"/>
          <w:sz w:val="21"/>
          <w:szCs w:val="21"/>
        </w:rPr>
      </w:pPr>
      <w:bookmarkStart w:id="2" w:name="_Toc529805651"/>
      <w:r w:rsidRPr="00040C66">
        <w:rPr>
          <w:rFonts w:ascii="Calibri" w:hAnsi="Calibri"/>
          <w:color w:val="002060"/>
          <w:sz w:val="21"/>
          <w:szCs w:val="21"/>
        </w:rPr>
        <w:t>Présentation Générale</w:t>
      </w:r>
      <w:bookmarkEnd w:id="2"/>
    </w:p>
    <w:p w:rsidR="00720D8A" w:rsidRPr="000A233D" w:rsidRDefault="00720D8A" w:rsidP="00570C56">
      <w:pPr>
        <w:pStyle w:val="Titre3"/>
        <w:numPr>
          <w:ilvl w:val="0"/>
          <w:numId w:val="2"/>
        </w:numPr>
        <w:spacing w:before="0"/>
        <w:ind w:left="170" w:hanging="170"/>
        <w:rPr>
          <w:rFonts w:ascii="Calibri" w:hAnsi="Calibri"/>
          <w:color w:val="002060"/>
          <w:sz w:val="20"/>
          <w:szCs w:val="20"/>
        </w:rPr>
      </w:pPr>
      <w:bookmarkStart w:id="3" w:name="_Toc529805652"/>
      <w:r w:rsidRPr="000A233D">
        <w:rPr>
          <w:rFonts w:ascii="Calibri" w:hAnsi="Calibri"/>
          <w:color w:val="002060"/>
          <w:sz w:val="20"/>
          <w:szCs w:val="20"/>
        </w:rPr>
        <w:t>Actionnariat et direction</w:t>
      </w:r>
      <w:bookmarkEnd w:id="3"/>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La présentation de la répartition du capital, des éventuelles modifications récentes ou significatives dans l’historique de l’entreprise permet au destinataire du rapport de se situer parmi d’éventuels partenaires et actionnaires.</w:t>
      </w:r>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A ce titre, il est indispensable de présenter qui dirige l’entreprise, à la fois comme dirigeant mandataire social (Président ou gérant), mais également au niveau des postes déterminants correspondant aux principales fonctions de l’entreprise.</w:t>
      </w:r>
    </w:p>
    <w:p w:rsidR="00720D8A" w:rsidRPr="000A233D" w:rsidRDefault="00720D8A" w:rsidP="00570C56">
      <w:pPr>
        <w:spacing w:after="120"/>
        <w:ind w:left="170"/>
        <w:jc w:val="both"/>
        <w:rPr>
          <w:rFonts w:ascii="Calibri" w:hAnsi="Calibri"/>
          <w:color w:val="002060"/>
          <w:sz w:val="20"/>
          <w:szCs w:val="20"/>
        </w:rPr>
      </w:pPr>
      <w:r w:rsidRPr="000A233D">
        <w:rPr>
          <w:rFonts w:ascii="Calibri" w:hAnsi="Calibri"/>
          <w:color w:val="002060"/>
          <w:sz w:val="20"/>
          <w:szCs w:val="20"/>
        </w:rPr>
        <w:t xml:space="preserve">Il peut être également intéressant d’indiquer à ce stade certains conseils extérieurs à l’entreprise, soit parce qu’ils ont un rôle significatif, soit parce qu’ils externalisent </w:t>
      </w:r>
      <w:r w:rsidR="00613F3A" w:rsidRPr="000A233D">
        <w:rPr>
          <w:rFonts w:ascii="Calibri" w:hAnsi="Calibri"/>
          <w:color w:val="002060"/>
          <w:sz w:val="20"/>
          <w:szCs w:val="20"/>
        </w:rPr>
        <w:t>une</w:t>
      </w:r>
      <w:r w:rsidRPr="000A233D">
        <w:rPr>
          <w:rFonts w:ascii="Calibri" w:hAnsi="Calibri"/>
          <w:color w:val="002060"/>
          <w:sz w:val="20"/>
          <w:szCs w:val="20"/>
        </w:rPr>
        <w:t xml:space="preserve"> fonction essentielle de l’entreprise.</w:t>
      </w:r>
    </w:p>
    <w:p w:rsidR="00720D8A" w:rsidRPr="000A233D" w:rsidRDefault="00720D8A" w:rsidP="00596540">
      <w:pPr>
        <w:pStyle w:val="Titre3"/>
        <w:numPr>
          <w:ilvl w:val="0"/>
          <w:numId w:val="2"/>
        </w:numPr>
        <w:spacing w:before="0" w:after="30"/>
        <w:ind w:left="170" w:hanging="170"/>
        <w:rPr>
          <w:rFonts w:ascii="Calibri" w:hAnsi="Calibri"/>
          <w:color w:val="002060"/>
          <w:sz w:val="20"/>
          <w:szCs w:val="20"/>
        </w:rPr>
      </w:pPr>
      <w:bookmarkStart w:id="4" w:name="_Toc529805653"/>
      <w:r w:rsidRPr="000A233D">
        <w:rPr>
          <w:rFonts w:ascii="Calibri" w:hAnsi="Calibri"/>
          <w:color w:val="002060"/>
          <w:sz w:val="20"/>
          <w:szCs w:val="20"/>
        </w:rPr>
        <w:t>L’exercice de l’activité : les produits et services</w:t>
      </w:r>
      <w:bookmarkEnd w:id="4"/>
    </w:p>
    <w:p w:rsidR="00720D8A" w:rsidRPr="000A233D" w:rsidRDefault="00720D8A" w:rsidP="00596540">
      <w:pPr>
        <w:spacing w:after="30"/>
        <w:ind w:left="170"/>
        <w:jc w:val="both"/>
        <w:rPr>
          <w:rFonts w:ascii="Calibri" w:hAnsi="Calibri"/>
          <w:color w:val="002060"/>
          <w:sz w:val="20"/>
          <w:szCs w:val="20"/>
        </w:rPr>
      </w:pPr>
      <w:r w:rsidRPr="000A233D">
        <w:rPr>
          <w:rFonts w:ascii="Calibri" w:hAnsi="Calibri"/>
          <w:color w:val="002060"/>
          <w:sz w:val="20"/>
          <w:szCs w:val="20"/>
        </w:rPr>
        <w:t xml:space="preserve">La présentation détaillée de l’activité reprend : </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w:t>
      </w:r>
      <w:r w:rsidR="00720D8A" w:rsidRPr="000A233D">
        <w:rPr>
          <w:rFonts w:ascii="Calibri" w:hAnsi="Calibri"/>
          <w:color w:val="002060"/>
          <w:sz w:val="20"/>
          <w:szCs w:val="20"/>
        </w:rPr>
        <w:t>s) métier(s) exercé(s),</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Les</w:t>
      </w:r>
      <w:r w:rsidR="00720D8A" w:rsidRPr="000A233D">
        <w:rPr>
          <w:rFonts w:ascii="Calibri" w:hAnsi="Calibri"/>
          <w:color w:val="002060"/>
          <w:sz w:val="20"/>
          <w:szCs w:val="20"/>
        </w:rPr>
        <w:t xml:space="preserve"> produit(s) ou service(s) vendus,</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w:t>
      </w:r>
      <w:r w:rsidR="00720D8A" w:rsidRPr="000A233D">
        <w:rPr>
          <w:rFonts w:ascii="Calibri" w:hAnsi="Calibri"/>
          <w:color w:val="002060"/>
          <w:sz w:val="20"/>
          <w:szCs w:val="20"/>
        </w:rPr>
        <w:t xml:space="preserve"> type de clientèle,</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Si</w:t>
      </w:r>
      <w:r w:rsidR="00720D8A" w:rsidRPr="000A233D">
        <w:rPr>
          <w:rFonts w:ascii="Calibri" w:hAnsi="Calibri"/>
          <w:color w:val="002060"/>
          <w:sz w:val="20"/>
          <w:szCs w:val="20"/>
        </w:rPr>
        <w:t xml:space="preserve"> l’activité est du négoce ou de la production, ou les deux,</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Comment</w:t>
      </w:r>
      <w:r w:rsidR="00720D8A" w:rsidRPr="000A233D">
        <w:rPr>
          <w:rFonts w:ascii="Calibri" w:hAnsi="Calibri"/>
          <w:color w:val="002060"/>
          <w:sz w:val="20"/>
          <w:szCs w:val="20"/>
        </w:rPr>
        <w:t xml:space="preserve"> sont commercialisés les produits/services</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L’implantation</w:t>
      </w:r>
      <w:r w:rsidR="00720D8A" w:rsidRPr="000A233D">
        <w:rPr>
          <w:rFonts w:ascii="Calibri" w:hAnsi="Calibri"/>
          <w:color w:val="002060"/>
          <w:sz w:val="20"/>
          <w:szCs w:val="20"/>
        </w:rPr>
        <w:t xml:space="preserve"> géographique</w:t>
      </w:r>
    </w:p>
    <w:p w:rsidR="00720D8A" w:rsidRPr="000A233D" w:rsidRDefault="00596540" w:rsidP="00596540">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w:t>
      </w:r>
      <w:r w:rsidR="00720D8A" w:rsidRPr="000A233D">
        <w:rPr>
          <w:rFonts w:ascii="Calibri" w:hAnsi="Calibri"/>
          <w:color w:val="002060"/>
          <w:sz w:val="20"/>
          <w:szCs w:val="20"/>
        </w:rPr>
        <w:t xml:space="preserve"> type de fournisseurs directement liés à l’activité,</w:t>
      </w:r>
    </w:p>
    <w:p w:rsidR="00720D8A" w:rsidRPr="000A233D" w:rsidRDefault="00596540" w:rsidP="00596540">
      <w:pPr>
        <w:spacing w:after="6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5637EF" wp14:editId="47AC9D45">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Les</w:t>
      </w:r>
      <w:r w:rsidR="00720D8A" w:rsidRPr="000A233D">
        <w:rPr>
          <w:rFonts w:ascii="Calibri" w:hAnsi="Calibri"/>
          <w:color w:val="002060"/>
          <w:sz w:val="20"/>
          <w:szCs w:val="20"/>
        </w:rPr>
        <w:t xml:space="preserve"> partenariats qui permettent l’exercice de l’activité.</w:t>
      </w:r>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 xml:space="preserve">Cette étude se veut  suffisamment précise et technique pour apporter une bonne connaissance de l’activité, tout en restant accessible et compréhensible. Les termes trop techniques ou les processus industriels complexes  seront explicités. </w:t>
      </w:r>
    </w:p>
    <w:p w:rsidR="00720D8A" w:rsidRPr="000A233D" w:rsidRDefault="00720D8A" w:rsidP="00596540">
      <w:pPr>
        <w:spacing w:after="60"/>
        <w:ind w:left="39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Selon l’importance technique de l’activité exercée ou selon le caractère novateur du projet, en particulier s’il s’agit d’une idée peu complexe dont le succès repose en grande partie sur son originalité (la prime au premier), les détails plus confidentiels seront renvoyés en  annexe, remise à seulement certains lecteurs.</w:t>
      </w:r>
    </w:p>
    <w:p w:rsidR="00720D8A" w:rsidRPr="000A233D" w:rsidRDefault="00720D8A" w:rsidP="00596540">
      <w:pPr>
        <w:ind w:left="39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Les contraintes spécifiques au marché ou à la profession qui entraîne une barrière à l’entrée seront indiquées qu’elles soient d’ordre légales (conditions de diplôme, licence, autorisation administrative,…), techniques (maîtrise d’un procédé de fabrication, connaissance de techniques, ..) ou autres (nécessité d’un accord avec un fournisseur ou activité capitalistiques nécessitant un investissement lourd, ..)</w:t>
      </w:r>
    </w:p>
    <w:p w:rsidR="00720D8A" w:rsidRPr="000A233D" w:rsidRDefault="00720D8A" w:rsidP="00570C56">
      <w:pPr>
        <w:pStyle w:val="Titre3"/>
        <w:numPr>
          <w:ilvl w:val="0"/>
          <w:numId w:val="2"/>
        </w:numPr>
        <w:spacing w:before="120"/>
        <w:ind w:left="170" w:hanging="170"/>
        <w:rPr>
          <w:rFonts w:ascii="Calibri" w:hAnsi="Calibri"/>
          <w:color w:val="002060"/>
          <w:sz w:val="20"/>
          <w:szCs w:val="20"/>
        </w:rPr>
      </w:pPr>
      <w:bookmarkStart w:id="5" w:name="_Toc529805654"/>
      <w:r w:rsidRPr="000A233D">
        <w:rPr>
          <w:rFonts w:ascii="Calibri" w:hAnsi="Calibri"/>
          <w:color w:val="002060"/>
          <w:sz w:val="20"/>
          <w:szCs w:val="20"/>
        </w:rPr>
        <w:t>Positionnement par rapport au marché</w:t>
      </w:r>
      <w:bookmarkEnd w:id="5"/>
    </w:p>
    <w:p w:rsidR="00596540" w:rsidRDefault="00720D8A" w:rsidP="00596540">
      <w:pPr>
        <w:spacing w:after="30"/>
        <w:ind w:left="170"/>
        <w:jc w:val="both"/>
        <w:rPr>
          <w:rFonts w:ascii="Calibri" w:hAnsi="Calibri"/>
          <w:color w:val="002060"/>
          <w:sz w:val="20"/>
          <w:szCs w:val="20"/>
        </w:rPr>
      </w:pPr>
      <w:r w:rsidRPr="000A233D">
        <w:rPr>
          <w:rFonts w:ascii="Calibri" w:hAnsi="Calibri"/>
          <w:color w:val="002060"/>
          <w:sz w:val="20"/>
          <w:szCs w:val="20"/>
        </w:rPr>
        <w:t xml:space="preserve">Les produits et des services sont positionnés par rapport au marché : </w:t>
      </w:r>
    </w:p>
    <w:p w:rsidR="00596540" w:rsidRDefault="00720D8A" w:rsidP="00596540">
      <w:pPr>
        <w:pStyle w:val="Paragraphedeliste"/>
        <w:numPr>
          <w:ilvl w:val="0"/>
          <w:numId w:val="2"/>
        </w:numPr>
        <w:spacing w:after="30"/>
        <w:ind w:left="340" w:hanging="170"/>
        <w:contextualSpacing w:val="0"/>
        <w:jc w:val="both"/>
        <w:rPr>
          <w:rFonts w:ascii="Calibri" w:hAnsi="Calibri"/>
          <w:color w:val="002060"/>
          <w:sz w:val="20"/>
          <w:szCs w:val="20"/>
        </w:rPr>
      </w:pPr>
      <w:r w:rsidRPr="00596540">
        <w:rPr>
          <w:rFonts w:ascii="Calibri" w:hAnsi="Calibri"/>
          <w:color w:val="002060"/>
          <w:sz w:val="20"/>
          <w:szCs w:val="20"/>
        </w:rPr>
        <w:t xml:space="preserve">phase création (le produit est nouveau dans un marché nouveau), </w:t>
      </w:r>
    </w:p>
    <w:p w:rsidR="00596540" w:rsidRDefault="00720D8A" w:rsidP="00596540">
      <w:pPr>
        <w:pStyle w:val="Paragraphedeliste"/>
        <w:numPr>
          <w:ilvl w:val="0"/>
          <w:numId w:val="2"/>
        </w:numPr>
        <w:spacing w:after="30"/>
        <w:ind w:left="340" w:hanging="170"/>
        <w:contextualSpacing w:val="0"/>
        <w:jc w:val="both"/>
        <w:rPr>
          <w:rFonts w:ascii="Calibri" w:hAnsi="Calibri"/>
          <w:color w:val="002060"/>
          <w:sz w:val="20"/>
          <w:szCs w:val="20"/>
        </w:rPr>
      </w:pPr>
      <w:r w:rsidRPr="00596540">
        <w:rPr>
          <w:rFonts w:ascii="Calibri" w:hAnsi="Calibri"/>
          <w:color w:val="002060"/>
          <w:sz w:val="20"/>
          <w:szCs w:val="20"/>
        </w:rPr>
        <w:t xml:space="preserve">croissance (le produit est développé en cours d’amélioration et le marché se développe), </w:t>
      </w:r>
    </w:p>
    <w:p w:rsidR="00596540" w:rsidRDefault="00720D8A" w:rsidP="00596540">
      <w:pPr>
        <w:pStyle w:val="Paragraphedeliste"/>
        <w:numPr>
          <w:ilvl w:val="0"/>
          <w:numId w:val="2"/>
        </w:numPr>
        <w:spacing w:after="30"/>
        <w:ind w:left="340" w:hanging="170"/>
        <w:contextualSpacing w:val="0"/>
        <w:jc w:val="both"/>
        <w:rPr>
          <w:rFonts w:ascii="Calibri" w:hAnsi="Calibri"/>
          <w:color w:val="002060"/>
          <w:sz w:val="20"/>
          <w:szCs w:val="20"/>
        </w:rPr>
      </w:pPr>
      <w:r w:rsidRPr="00596540">
        <w:rPr>
          <w:rFonts w:ascii="Calibri" w:hAnsi="Calibri"/>
          <w:color w:val="002060"/>
          <w:sz w:val="20"/>
          <w:szCs w:val="20"/>
        </w:rPr>
        <w:t xml:space="preserve">maturité (le marché est développé et le produit également), </w:t>
      </w:r>
    </w:p>
    <w:p w:rsidR="00720D8A" w:rsidRPr="00596540" w:rsidRDefault="00720D8A" w:rsidP="00596540">
      <w:pPr>
        <w:pStyle w:val="Paragraphedeliste"/>
        <w:numPr>
          <w:ilvl w:val="0"/>
          <w:numId w:val="2"/>
        </w:numPr>
        <w:spacing w:after="60"/>
        <w:ind w:left="340" w:hanging="170"/>
        <w:jc w:val="both"/>
        <w:rPr>
          <w:rFonts w:ascii="Calibri" w:hAnsi="Calibri"/>
          <w:color w:val="002060"/>
          <w:sz w:val="20"/>
          <w:szCs w:val="20"/>
        </w:rPr>
      </w:pPr>
      <w:r w:rsidRPr="00596540">
        <w:rPr>
          <w:rFonts w:ascii="Calibri" w:hAnsi="Calibri"/>
          <w:color w:val="002060"/>
          <w:sz w:val="20"/>
          <w:szCs w:val="20"/>
        </w:rPr>
        <w:t>déclin (le produit n’évolue plus, et le marché décline progressivement).</w:t>
      </w:r>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La décomposition pondérée des produits et services (mix-produit) de l’entreprise permet d’apprécier l’équilibre de l’entreprise,  la réflexion effectuée sur ses activités, sa capacité à se projeter dans l’avenir.</w:t>
      </w:r>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 xml:space="preserve">L’entreprise peut avoir une politique de différentiation de son offre produit/service par rapport à son marché, soit une politique </w:t>
      </w:r>
      <w:r w:rsidR="00596540">
        <w:rPr>
          <w:rFonts w:ascii="Calibri" w:hAnsi="Calibri"/>
          <w:color w:val="002060"/>
          <w:sz w:val="20"/>
          <w:szCs w:val="20"/>
        </w:rPr>
        <w:t xml:space="preserve">de </w:t>
      </w:r>
      <w:r w:rsidRPr="000A233D">
        <w:rPr>
          <w:rFonts w:ascii="Calibri" w:hAnsi="Calibri"/>
          <w:color w:val="002060"/>
          <w:sz w:val="20"/>
          <w:szCs w:val="20"/>
        </w:rPr>
        <w:t>développement sur la base d’un effet de masse et d’attaque du marché par le critère du prix. Dans ces deux principales démarches, il apparaît nécessaire de faire ressortir quelle est la politique de l’entreprise à l’égard de son marché.</w:t>
      </w:r>
    </w:p>
    <w:p w:rsidR="00720D8A" w:rsidRPr="000A233D" w:rsidRDefault="00720D8A" w:rsidP="00596540">
      <w:pPr>
        <w:spacing w:after="60"/>
        <w:ind w:left="170"/>
        <w:jc w:val="both"/>
        <w:rPr>
          <w:rFonts w:ascii="Calibri" w:hAnsi="Calibri"/>
          <w:color w:val="002060"/>
          <w:sz w:val="20"/>
          <w:szCs w:val="20"/>
        </w:rPr>
      </w:pPr>
      <w:r w:rsidRPr="000A233D">
        <w:rPr>
          <w:rFonts w:ascii="Calibri" w:hAnsi="Calibri"/>
          <w:color w:val="002060"/>
          <w:sz w:val="20"/>
          <w:szCs w:val="20"/>
        </w:rPr>
        <w:t>La position de l’entreprise face à ses concurrents directs ou indirects, et les risques sur le marché qui peuvent présenter pour l’entreprise une vulnérabilité (marché sensible à la conjoncture, ..) doivent être analysée de façon précise.</w:t>
      </w:r>
    </w:p>
    <w:p w:rsidR="00720D8A" w:rsidRPr="000A233D" w:rsidRDefault="00720D8A" w:rsidP="00596540">
      <w:pPr>
        <w:ind w:left="39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Il apparaît indispensable de faire ressortir quelle est la concurrence et quels sont ses atouts, tant la concurrence actuelle que la concurrence future. En effet, méconnaître ses concurrents apparaît comme un manque crucial de recul sur sa propre activité et ses propres perspectives.</w:t>
      </w:r>
    </w:p>
    <w:p w:rsidR="00720D8A" w:rsidRPr="00040C66" w:rsidRDefault="00720D8A" w:rsidP="00AD735D">
      <w:pPr>
        <w:pStyle w:val="Titre2"/>
        <w:spacing w:before="120"/>
        <w:jc w:val="both"/>
        <w:rPr>
          <w:rFonts w:ascii="Calibri" w:hAnsi="Calibri"/>
          <w:color w:val="002060"/>
          <w:sz w:val="21"/>
          <w:szCs w:val="21"/>
        </w:rPr>
      </w:pPr>
      <w:bookmarkStart w:id="6" w:name="_Toc529805655"/>
      <w:r w:rsidRPr="00040C66">
        <w:rPr>
          <w:rFonts w:ascii="Calibri" w:hAnsi="Calibri"/>
          <w:color w:val="002060"/>
          <w:sz w:val="21"/>
          <w:szCs w:val="21"/>
        </w:rPr>
        <w:t>Derniers comptes annuels et situation comptables établis</w:t>
      </w:r>
      <w:bookmarkEnd w:id="6"/>
      <w:r w:rsidRPr="00040C66">
        <w:rPr>
          <w:rFonts w:ascii="Calibri" w:hAnsi="Calibri"/>
          <w:color w:val="002060"/>
          <w:sz w:val="21"/>
          <w:szCs w:val="21"/>
        </w:rPr>
        <w:t xml:space="preserve"> </w:t>
      </w:r>
    </w:p>
    <w:p w:rsidR="00720D8A" w:rsidRPr="000A233D" w:rsidRDefault="00570C56">
      <w:pPr>
        <w:jc w:val="both"/>
        <w:rPr>
          <w:rFonts w:ascii="Calibri" w:hAnsi="Calibri"/>
          <w:color w:val="002060"/>
          <w:sz w:val="20"/>
          <w:szCs w:val="20"/>
        </w:rPr>
      </w:pPr>
      <w:r>
        <w:rPr>
          <w:rFonts w:ascii="Calibri" w:hAnsi="Calibri"/>
          <w:color w:val="002060"/>
          <w:sz w:val="20"/>
          <w:szCs w:val="20"/>
        </w:rPr>
        <w:t>S</w:t>
      </w:r>
      <w:r w:rsidR="00720D8A" w:rsidRPr="000A233D">
        <w:rPr>
          <w:rFonts w:ascii="Calibri" w:hAnsi="Calibri"/>
          <w:color w:val="002060"/>
          <w:sz w:val="20"/>
          <w:szCs w:val="20"/>
        </w:rPr>
        <w:t xml:space="preserve">i le business plan ne concerne pas une entreprise nouvelle, </w:t>
      </w:r>
      <w:r>
        <w:rPr>
          <w:rFonts w:ascii="Calibri" w:hAnsi="Calibri"/>
          <w:color w:val="002060"/>
          <w:sz w:val="20"/>
          <w:szCs w:val="20"/>
        </w:rPr>
        <w:t xml:space="preserve">il est nécessaire </w:t>
      </w:r>
      <w:r w:rsidR="00720D8A" w:rsidRPr="000A233D">
        <w:rPr>
          <w:rFonts w:ascii="Calibri" w:hAnsi="Calibri"/>
          <w:color w:val="002060"/>
          <w:sz w:val="20"/>
          <w:szCs w:val="20"/>
        </w:rPr>
        <w:t xml:space="preserve">d’indiquer et de commenter au moins le dernier bilan/résultat et les situations qui auraient été établies depuis. </w:t>
      </w:r>
    </w:p>
    <w:p w:rsidR="00720D8A" w:rsidRPr="000A233D" w:rsidRDefault="00720D8A" w:rsidP="00570C56">
      <w:pPr>
        <w:autoSpaceDE w:val="0"/>
        <w:autoSpaceDN w:val="0"/>
        <w:adjustRightInd w:val="0"/>
        <w:spacing w:after="60"/>
        <w:rPr>
          <w:rFonts w:ascii="Calibri" w:hAnsi="Calibri"/>
          <w:color w:val="002060"/>
          <w:sz w:val="20"/>
          <w:szCs w:val="20"/>
        </w:rPr>
      </w:pPr>
      <w:r w:rsidRPr="000A233D">
        <w:rPr>
          <w:rFonts w:ascii="Calibri" w:hAnsi="Calibri"/>
          <w:color w:val="002060"/>
          <w:sz w:val="20"/>
          <w:szCs w:val="20"/>
        </w:rPr>
        <w:t>Un exposé clair et commenté des situations et comptes est indispensable, que ceux ci soient bons ou mauvais</w:t>
      </w:r>
    </w:p>
    <w:p w:rsidR="00720D8A" w:rsidRPr="000A233D" w:rsidRDefault="00720D8A">
      <w:pPr>
        <w:jc w:val="both"/>
        <w:rPr>
          <w:rFonts w:ascii="Calibri" w:hAnsi="Calibri"/>
          <w:color w:val="002060"/>
          <w:sz w:val="20"/>
          <w:szCs w:val="20"/>
        </w:rPr>
      </w:pPr>
      <w:r w:rsidRPr="000A233D">
        <w:rPr>
          <w:rFonts w:ascii="Calibri" w:hAnsi="Calibri"/>
          <w:color w:val="002060"/>
          <w:sz w:val="20"/>
          <w:szCs w:val="20"/>
        </w:rPr>
        <w:lastRenderedPageBreak/>
        <w:t>Si le dossier de business plan est présenté pour une restructuration de l’entreprise, il est alors indispensable de développer les parties suivantes :</w:t>
      </w:r>
    </w:p>
    <w:p w:rsidR="00720D8A" w:rsidRPr="00040C66" w:rsidRDefault="00720D8A" w:rsidP="00570C56">
      <w:pPr>
        <w:pStyle w:val="Titre2"/>
        <w:spacing w:before="120"/>
        <w:jc w:val="both"/>
        <w:rPr>
          <w:rFonts w:ascii="Calibri" w:hAnsi="Calibri"/>
          <w:color w:val="002060"/>
          <w:sz w:val="21"/>
          <w:szCs w:val="21"/>
        </w:rPr>
      </w:pPr>
      <w:bookmarkStart w:id="7" w:name="_Toc529805656"/>
      <w:r w:rsidRPr="00040C66">
        <w:rPr>
          <w:rFonts w:ascii="Calibri" w:hAnsi="Calibri"/>
          <w:color w:val="002060"/>
          <w:sz w:val="21"/>
          <w:szCs w:val="21"/>
        </w:rPr>
        <w:t>Mesures de restructuration</w:t>
      </w:r>
      <w:bookmarkEnd w:id="7"/>
    </w:p>
    <w:p w:rsidR="00720D8A" w:rsidRPr="000A233D" w:rsidRDefault="00720D8A" w:rsidP="000473E6">
      <w:pPr>
        <w:spacing w:after="60"/>
        <w:jc w:val="both"/>
        <w:rPr>
          <w:rFonts w:ascii="Calibri" w:hAnsi="Calibri"/>
          <w:color w:val="002060"/>
          <w:sz w:val="20"/>
          <w:szCs w:val="20"/>
        </w:rPr>
      </w:pPr>
      <w:r w:rsidRPr="000A233D">
        <w:rPr>
          <w:rFonts w:ascii="Calibri" w:hAnsi="Calibri"/>
          <w:color w:val="002060"/>
          <w:sz w:val="20"/>
          <w:szCs w:val="20"/>
        </w:rPr>
        <w:t>Si l’entreprise existe déjà et que des mesures de restructuration sont envisagées dans le business plan, il est alors indispensable de les présenter dans un chapeau général sur l’ensemble des modifications et non pas seulement dans les explications budgétaires des prévisions d’exploitation.</w:t>
      </w:r>
    </w:p>
    <w:p w:rsidR="00720D8A" w:rsidRPr="000A233D" w:rsidRDefault="00720D8A" w:rsidP="00570C56">
      <w:pPr>
        <w:spacing w:after="120"/>
        <w:jc w:val="both"/>
        <w:rPr>
          <w:rFonts w:ascii="Calibri" w:hAnsi="Calibri"/>
          <w:color w:val="002060"/>
          <w:sz w:val="20"/>
          <w:szCs w:val="20"/>
        </w:rPr>
      </w:pPr>
      <w:r w:rsidRPr="000A233D">
        <w:rPr>
          <w:rFonts w:ascii="Calibri" w:hAnsi="Calibri"/>
          <w:color w:val="002060"/>
          <w:sz w:val="20"/>
          <w:szCs w:val="20"/>
        </w:rPr>
        <w:t>Présenter en quoi les mesures de restructuration sont rendues nécessaires et leur objectif : maintenir l’entreprise en position concurrentielle, assurer l’adaptation des coûts de production, restructuration après avoir subit une phase difficile (perte, problèmes de trésorerie)….</w:t>
      </w:r>
    </w:p>
    <w:p w:rsidR="00720D8A" w:rsidRPr="000A233D" w:rsidRDefault="00720D8A" w:rsidP="00570C56">
      <w:pPr>
        <w:pStyle w:val="Titre3"/>
        <w:numPr>
          <w:ilvl w:val="0"/>
          <w:numId w:val="2"/>
        </w:numPr>
        <w:spacing w:before="0"/>
        <w:ind w:left="170" w:hanging="170"/>
        <w:rPr>
          <w:rFonts w:ascii="Calibri" w:hAnsi="Calibri"/>
          <w:color w:val="002060"/>
          <w:sz w:val="20"/>
          <w:szCs w:val="20"/>
        </w:rPr>
      </w:pPr>
      <w:bookmarkStart w:id="8" w:name="_Toc529805657"/>
      <w:r w:rsidRPr="000A233D">
        <w:rPr>
          <w:rFonts w:ascii="Calibri" w:hAnsi="Calibri"/>
          <w:color w:val="002060"/>
          <w:sz w:val="20"/>
          <w:szCs w:val="20"/>
        </w:rPr>
        <w:t>Modification de l’activité</w:t>
      </w:r>
      <w:bookmarkEnd w:id="8"/>
    </w:p>
    <w:p w:rsidR="00720D8A" w:rsidRPr="000A233D" w:rsidRDefault="00720D8A" w:rsidP="00570C56">
      <w:pPr>
        <w:spacing w:after="30"/>
        <w:ind w:left="170"/>
        <w:jc w:val="both"/>
        <w:rPr>
          <w:rFonts w:ascii="Calibri" w:hAnsi="Calibri"/>
          <w:color w:val="002060"/>
          <w:sz w:val="20"/>
          <w:szCs w:val="20"/>
        </w:rPr>
      </w:pPr>
      <w:r w:rsidRPr="000A233D">
        <w:rPr>
          <w:rFonts w:ascii="Calibri" w:hAnsi="Calibri"/>
          <w:color w:val="002060"/>
          <w:sz w:val="20"/>
          <w:szCs w:val="20"/>
        </w:rPr>
        <w:t>Indiquer ici quelles sont les modifications qu’il est envisagé d’apporter à :</w:t>
      </w:r>
    </w:p>
    <w:p w:rsidR="00720D8A" w:rsidRPr="000A233D" w:rsidRDefault="00570C56" w:rsidP="00570C56">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F30C391" wp14:editId="6CCB8C2E">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L’activité</w:t>
      </w:r>
      <w:r w:rsidR="00720D8A" w:rsidRPr="000A233D">
        <w:rPr>
          <w:rFonts w:ascii="Calibri" w:hAnsi="Calibri"/>
          <w:color w:val="002060"/>
          <w:sz w:val="20"/>
          <w:szCs w:val="20"/>
        </w:rPr>
        <w:t xml:space="preserve"> de l’entreprise en </w:t>
      </w:r>
      <w:r w:rsidR="000473E6" w:rsidRPr="000A233D">
        <w:rPr>
          <w:rFonts w:ascii="Calibri" w:hAnsi="Calibri"/>
          <w:color w:val="002060"/>
          <w:sz w:val="20"/>
          <w:szCs w:val="20"/>
        </w:rPr>
        <w:t>termes</w:t>
      </w:r>
      <w:r w:rsidR="00720D8A" w:rsidRPr="000A233D">
        <w:rPr>
          <w:rFonts w:ascii="Calibri" w:hAnsi="Calibri"/>
          <w:color w:val="002060"/>
          <w:sz w:val="20"/>
          <w:szCs w:val="20"/>
        </w:rPr>
        <w:t xml:space="preserve"> de gamme de produits/services</w:t>
      </w:r>
    </w:p>
    <w:p w:rsidR="00720D8A" w:rsidRPr="000A233D" w:rsidRDefault="00570C56" w:rsidP="00570C56">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F30C391" wp14:editId="6CCB8C2E">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w:t>
      </w:r>
      <w:r w:rsidR="00720D8A" w:rsidRPr="000A233D">
        <w:rPr>
          <w:rFonts w:ascii="Calibri" w:hAnsi="Calibri"/>
          <w:color w:val="002060"/>
          <w:sz w:val="20"/>
          <w:szCs w:val="20"/>
        </w:rPr>
        <w:t xml:space="preserve"> processus de la conception de nouveaux produits/services</w:t>
      </w:r>
    </w:p>
    <w:p w:rsidR="00720D8A" w:rsidRPr="000A233D" w:rsidRDefault="00570C56" w:rsidP="00570C56">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F30C391" wp14:editId="6CCB8C2E">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Le</w:t>
      </w:r>
      <w:r w:rsidR="00720D8A" w:rsidRPr="000A233D">
        <w:rPr>
          <w:rFonts w:ascii="Calibri" w:hAnsi="Calibri"/>
          <w:color w:val="002060"/>
          <w:sz w:val="20"/>
          <w:szCs w:val="20"/>
        </w:rPr>
        <w:t xml:space="preserve"> processus entre la commande client et la livraison au client</w:t>
      </w:r>
    </w:p>
    <w:p w:rsidR="00720D8A" w:rsidRPr="000A233D" w:rsidRDefault="00570C56" w:rsidP="00570C56">
      <w:pPr>
        <w:spacing w:after="30"/>
        <w:ind w:left="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F30C391" wp14:editId="6CCB8C2E">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La</w:t>
      </w:r>
      <w:r w:rsidR="00720D8A" w:rsidRPr="000A233D">
        <w:rPr>
          <w:rFonts w:ascii="Calibri" w:hAnsi="Calibri"/>
          <w:color w:val="002060"/>
          <w:sz w:val="20"/>
          <w:szCs w:val="20"/>
        </w:rPr>
        <w:t xml:space="preserve"> logistique</w:t>
      </w:r>
    </w:p>
    <w:p w:rsidR="00720D8A" w:rsidRPr="000A233D" w:rsidRDefault="00570C56" w:rsidP="00570C56">
      <w:pPr>
        <w:ind w:left="34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F30C391" wp14:editId="6CCB8C2E">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L’abandon</w:t>
      </w:r>
      <w:r w:rsidR="00720D8A" w:rsidRPr="000A233D">
        <w:rPr>
          <w:rFonts w:ascii="Calibri" w:hAnsi="Calibri"/>
          <w:color w:val="002060"/>
          <w:sz w:val="20"/>
          <w:szCs w:val="20"/>
        </w:rPr>
        <w:t xml:space="preserve">/nouveaux clients par nature (petits clients/GMS/Grands comptes, zone géographique, </w:t>
      </w:r>
      <w:r w:rsidR="005D2321" w:rsidRPr="000A233D">
        <w:rPr>
          <w:rFonts w:ascii="Calibri" w:hAnsi="Calibri"/>
          <w:color w:val="002060"/>
          <w:sz w:val="20"/>
          <w:szCs w:val="20"/>
        </w:rPr>
        <w:t>secteur d’activité des clients</w:t>
      </w:r>
      <w:r w:rsidR="00720D8A" w:rsidRPr="000A233D">
        <w:rPr>
          <w:rFonts w:ascii="Calibri" w:hAnsi="Calibri"/>
          <w:color w:val="002060"/>
          <w:sz w:val="20"/>
          <w:szCs w:val="20"/>
        </w:rPr>
        <w:t>)</w:t>
      </w:r>
    </w:p>
    <w:p w:rsidR="00720D8A" w:rsidRPr="000A233D" w:rsidRDefault="00254479" w:rsidP="00570C56">
      <w:pPr>
        <w:spacing w:after="60"/>
        <w:ind w:left="170"/>
        <w:jc w:val="both"/>
        <w:rPr>
          <w:rFonts w:ascii="Calibri" w:hAnsi="Calibri"/>
          <w:color w:val="002060"/>
          <w:sz w:val="20"/>
          <w:szCs w:val="20"/>
        </w:rPr>
      </w:pPr>
      <w:r w:rsidRPr="000A233D">
        <w:rPr>
          <w:rFonts w:ascii="Calibri" w:hAnsi="Calibri"/>
          <w:color w:val="002060"/>
          <w:sz w:val="20"/>
          <w:szCs w:val="20"/>
        </w:rPr>
        <w:t>Mais</w:t>
      </w:r>
      <w:r w:rsidR="00720D8A" w:rsidRPr="000A233D">
        <w:rPr>
          <w:rFonts w:ascii="Calibri" w:hAnsi="Calibri"/>
          <w:color w:val="002060"/>
          <w:sz w:val="20"/>
          <w:szCs w:val="20"/>
        </w:rPr>
        <w:t xml:space="preserve"> également les raisons qui ont poussé à cette réflexion, les raisons de ce(s) choix plutôt qu’un autre, et les conséquences pour l’entreprise en </w:t>
      </w:r>
      <w:r w:rsidR="000473E6" w:rsidRPr="000A233D">
        <w:rPr>
          <w:rFonts w:ascii="Calibri" w:hAnsi="Calibri"/>
          <w:color w:val="002060"/>
          <w:sz w:val="20"/>
          <w:szCs w:val="20"/>
        </w:rPr>
        <w:t>termes d’organisation</w:t>
      </w:r>
      <w:r w:rsidR="00720D8A" w:rsidRPr="000A233D">
        <w:rPr>
          <w:rFonts w:ascii="Calibri" w:hAnsi="Calibri"/>
          <w:color w:val="002060"/>
          <w:sz w:val="20"/>
          <w:szCs w:val="20"/>
        </w:rPr>
        <w:t xml:space="preserve"> et impact financier.</w:t>
      </w:r>
    </w:p>
    <w:p w:rsidR="00720D8A" w:rsidRPr="000A233D" w:rsidRDefault="00720D8A" w:rsidP="00570C56">
      <w:pPr>
        <w:spacing w:after="60"/>
        <w:ind w:left="170"/>
        <w:jc w:val="both"/>
        <w:rPr>
          <w:rFonts w:ascii="Calibri" w:hAnsi="Calibri"/>
          <w:color w:val="002060"/>
          <w:sz w:val="20"/>
          <w:szCs w:val="20"/>
        </w:rPr>
      </w:pPr>
      <w:r w:rsidRPr="000A233D">
        <w:rPr>
          <w:rFonts w:ascii="Calibri" w:hAnsi="Calibri"/>
          <w:color w:val="002060"/>
          <w:sz w:val="20"/>
          <w:szCs w:val="20"/>
        </w:rPr>
        <w:t xml:space="preserve">Attention, certaines restructurations n’ont pas qu’un effet positif. Ainsi, il est probable qu’une politique de réduction des coûts de commercialisations/représentation n’ait aucun impact sur le niveau de chiffre d’affaires, même s’il est réduit. </w:t>
      </w:r>
    </w:p>
    <w:p w:rsidR="00720D8A" w:rsidRPr="000A233D" w:rsidRDefault="00720D8A" w:rsidP="00570C56">
      <w:pPr>
        <w:spacing w:after="120"/>
        <w:ind w:left="170"/>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Ne pas se masquer les aspects négatifs de la restructuration qui peuvent être appréhendés par un lecteur averti.</w:t>
      </w:r>
    </w:p>
    <w:p w:rsidR="00720D8A" w:rsidRPr="000A233D" w:rsidRDefault="00720D8A" w:rsidP="00570C56">
      <w:pPr>
        <w:pStyle w:val="Titre3"/>
        <w:numPr>
          <w:ilvl w:val="0"/>
          <w:numId w:val="2"/>
        </w:numPr>
        <w:spacing w:before="0"/>
        <w:ind w:left="170" w:hanging="170"/>
        <w:rPr>
          <w:rFonts w:ascii="Calibri" w:hAnsi="Calibri"/>
          <w:color w:val="002060"/>
          <w:sz w:val="20"/>
          <w:szCs w:val="20"/>
        </w:rPr>
      </w:pPr>
      <w:bookmarkStart w:id="9" w:name="_Toc529805658"/>
      <w:r w:rsidRPr="000A233D">
        <w:rPr>
          <w:rFonts w:ascii="Calibri" w:hAnsi="Calibri"/>
          <w:color w:val="002060"/>
          <w:sz w:val="20"/>
          <w:szCs w:val="20"/>
        </w:rPr>
        <w:t>Réduction d’effectifs</w:t>
      </w:r>
      <w:bookmarkEnd w:id="9"/>
    </w:p>
    <w:p w:rsidR="00720D8A" w:rsidRPr="000A233D" w:rsidRDefault="00720D8A" w:rsidP="00570C56">
      <w:pPr>
        <w:spacing w:after="60"/>
        <w:ind w:left="170"/>
        <w:jc w:val="both"/>
        <w:rPr>
          <w:rFonts w:ascii="Calibri" w:hAnsi="Calibri"/>
          <w:color w:val="002060"/>
          <w:sz w:val="20"/>
          <w:szCs w:val="20"/>
        </w:rPr>
      </w:pPr>
      <w:r w:rsidRPr="000A233D">
        <w:rPr>
          <w:rFonts w:ascii="Calibri" w:hAnsi="Calibri"/>
          <w:color w:val="002060"/>
          <w:sz w:val="20"/>
          <w:szCs w:val="20"/>
        </w:rPr>
        <w:t xml:space="preserve">Elle est malheureusement souvent un point de passage obligé des restructurations pour accompagner les baisses d’activité. </w:t>
      </w:r>
    </w:p>
    <w:p w:rsidR="00570C56" w:rsidRDefault="00720D8A" w:rsidP="00570C56">
      <w:pPr>
        <w:ind w:left="39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Attention car supprimer des emplois implique d’expliquer comment ce que faisaient ces personnes va maintenant être assumé, sauf à démontrer que leur suppression de poste correspond à une suppression d’activité. </w:t>
      </w:r>
    </w:p>
    <w:p w:rsidR="00720D8A" w:rsidRPr="000A233D" w:rsidRDefault="00720D8A" w:rsidP="00570C56">
      <w:pPr>
        <w:spacing w:after="120"/>
        <w:ind w:left="397"/>
        <w:jc w:val="both"/>
        <w:rPr>
          <w:rFonts w:ascii="Calibri" w:hAnsi="Calibri"/>
          <w:color w:val="002060"/>
          <w:sz w:val="20"/>
          <w:szCs w:val="20"/>
        </w:rPr>
      </w:pPr>
      <w:r w:rsidRPr="000A233D">
        <w:rPr>
          <w:rFonts w:ascii="Calibri" w:hAnsi="Calibri"/>
          <w:color w:val="002060"/>
          <w:sz w:val="20"/>
          <w:szCs w:val="20"/>
        </w:rPr>
        <w:t>Il est rare que les salariés dont l’emploi est supprimé ne fassent  rien : comment leur charge de travail, même avec une part de sous activité, va-t-elle être assumée.</w:t>
      </w:r>
    </w:p>
    <w:p w:rsidR="00720D8A" w:rsidRPr="000A233D" w:rsidRDefault="00720D8A" w:rsidP="00570C56">
      <w:pPr>
        <w:pStyle w:val="Titre3"/>
        <w:numPr>
          <w:ilvl w:val="0"/>
          <w:numId w:val="2"/>
        </w:numPr>
        <w:spacing w:before="0"/>
        <w:ind w:left="170" w:hanging="170"/>
        <w:rPr>
          <w:rFonts w:ascii="Calibri" w:hAnsi="Calibri"/>
          <w:color w:val="002060"/>
          <w:sz w:val="20"/>
          <w:szCs w:val="20"/>
        </w:rPr>
      </w:pPr>
      <w:bookmarkStart w:id="10" w:name="_Toc529805659"/>
      <w:r w:rsidRPr="000A233D">
        <w:rPr>
          <w:rFonts w:ascii="Calibri" w:hAnsi="Calibri"/>
          <w:color w:val="002060"/>
          <w:sz w:val="20"/>
          <w:szCs w:val="20"/>
        </w:rPr>
        <w:t>Réduction des autres charges</w:t>
      </w:r>
      <w:bookmarkEnd w:id="10"/>
      <w:r w:rsidRPr="000A233D">
        <w:rPr>
          <w:rFonts w:ascii="Calibri" w:hAnsi="Calibri"/>
          <w:color w:val="002060"/>
          <w:sz w:val="20"/>
          <w:szCs w:val="20"/>
        </w:rPr>
        <w:t xml:space="preserve"> </w:t>
      </w:r>
    </w:p>
    <w:p w:rsidR="00720D8A" w:rsidRPr="000A233D" w:rsidRDefault="00720D8A" w:rsidP="00570C56">
      <w:pPr>
        <w:spacing w:after="120"/>
        <w:ind w:left="170"/>
        <w:jc w:val="both"/>
        <w:rPr>
          <w:rFonts w:ascii="Calibri" w:hAnsi="Calibri"/>
          <w:color w:val="002060"/>
          <w:sz w:val="20"/>
          <w:szCs w:val="20"/>
        </w:rPr>
      </w:pPr>
      <w:r w:rsidRPr="000A233D">
        <w:rPr>
          <w:rFonts w:ascii="Calibri" w:hAnsi="Calibri"/>
          <w:color w:val="002060"/>
          <w:sz w:val="20"/>
          <w:szCs w:val="20"/>
        </w:rPr>
        <w:t>Il est souvent décidé la réduction de certains postes de charges, l’arrêt de certains contrats pour générer des économies. Reprendre par nature les économies qu’il est envisagé de réaliser.</w:t>
      </w:r>
    </w:p>
    <w:p w:rsidR="00720D8A" w:rsidRPr="000A233D" w:rsidRDefault="00720D8A" w:rsidP="00570C56">
      <w:pPr>
        <w:pStyle w:val="Titre3"/>
        <w:numPr>
          <w:ilvl w:val="0"/>
          <w:numId w:val="2"/>
        </w:numPr>
        <w:spacing w:before="0"/>
        <w:ind w:left="170" w:hanging="170"/>
        <w:rPr>
          <w:rFonts w:ascii="Calibri" w:hAnsi="Calibri"/>
          <w:color w:val="002060"/>
          <w:sz w:val="20"/>
          <w:szCs w:val="20"/>
        </w:rPr>
      </w:pPr>
      <w:bookmarkStart w:id="11" w:name="_Toc529805660"/>
      <w:r w:rsidRPr="000A233D">
        <w:rPr>
          <w:rFonts w:ascii="Calibri" w:hAnsi="Calibri"/>
          <w:color w:val="002060"/>
          <w:sz w:val="20"/>
          <w:szCs w:val="20"/>
        </w:rPr>
        <w:t>Economies réalisées</w:t>
      </w:r>
      <w:bookmarkEnd w:id="11"/>
    </w:p>
    <w:p w:rsidR="004A0294" w:rsidRPr="000A233D" w:rsidRDefault="00720D8A" w:rsidP="00570C56">
      <w:pPr>
        <w:ind w:left="170"/>
        <w:jc w:val="both"/>
        <w:rPr>
          <w:rFonts w:ascii="Calibri" w:hAnsi="Calibri"/>
          <w:color w:val="002060"/>
          <w:sz w:val="20"/>
          <w:szCs w:val="20"/>
        </w:rPr>
      </w:pPr>
      <w:r w:rsidRPr="000A233D">
        <w:rPr>
          <w:rFonts w:ascii="Calibri" w:hAnsi="Calibri"/>
          <w:color w:val="002060"/>
          <w:sz w:val="20"/>
          <w:szCs w:val="20"/>
        </w:rPr>
        <w:t>Présenter enfin l‘ensemble de l’impact chiffré des économies résultant des restructurations qui seront mises en place pour donner au lecteur une vision d’ensemble de ce qui motive le redressement et la différence entre le Business Plan ou les comptes annuels de l’année précédente et celui présenté.</w:t>
      </w:r>
    </w:p>
    <w:p w:rsidR="00720D8A" w:rsidRPr="00040C66" w:rsidRDefault="00720D8A" w:rsidP="00040C66">
      <w:pPr>
        <w:pStyle w:val="Titre1"/>
        <w:spacing w:before="120"/>
        <w:jc w:val="both"/>
        <w:rPr>
          <w:rFonts w:ascii="Calibri" w:hAnsi="Calibri"/>
          <w:color w:val="002060"/>
          <w:sz w:val="21"/>
          <w:szCs w:val="21"/>
        </w:rPr>
      </w:pPr>
      <w:bookmarkStart w:id="12" w:name="_Toc529805661"/>
      <w:r w:rsidRPr="00040C66">
        <w:rPr>
          <w:rFonts w:ascii="Calibri" w:hAnsi="Calibri"/>
          <w:color w:val="002060"/>
          <w:sz w:val="21"/>
          <w:szCs w:val="21"/>
        </w:rPr>
        <w:t>2. PREVISIONS D'ACTIVITE</w:t>
      </w:r>
      <w:bookmarkEnd w:id="12"/>
    </w:p>
    <w:p w:rsidR="00720D8A" w:rsidRPr="00040C66" w:rsidRDefault="00720D8A" w:rsidP="00570C56">
      <w:pPr>
        <w:pStyle w:val="Titre2"/>
        <w:spacing w:before="0"/>
        <w:jc w:val="both"/>
        <w:rPr>
          <w:rFonts w:ascii="Calibri" w:hAnsi="Calibri"/>
          <w:color w:val="002060"/>
          <w:sz w:val="20"/>
          <w:szCs w:val="20"/>
        </w:rPr>
      </w:pPr>
      <w:bookmarkStart w:id="13" w:name="_Toc529805662"/>
      <w:r w:rsidRPr="00040C66">
        <w:rPr>
          <w:rFonts w:ascii="Calibri" w:hAnsi="Calibri"/>
          <w:color w:val="002060"/>
          <w:sz w:val="20"/>
          <w:szCs w:val="20"/>
        </w:rPr>
        <w:t>Ventes, Chiffre d’affaires et marges</w:t>
      </w:r>
      <w:bookmarkEnd w:id="13"/>
    </w:p>
    <w:p w:rsidR="00720D8A" w:rsidRPr="000A233D" w:rsidRDefault="00720D8A" w:rsidP="000473E6">
      <w:pPr>
        <w:spacing w:after="60"/>
        <w:jc w:val="both"/>
        <w:rPr>
          <w:rFonts w:ascii="Calibri" w:hAnsi="Calibri"/>
          <w:color w:val="002060"/>
          <w:sz w:val="20"/>
          <w:szCs w:val="20"/>
        </w:rPr>
      </w:pPr>
      <w:r w:rsidRPr="000A233D">
        <w:rPr>
          <w:rFonts w:ascii="Calibri" w:hAnsi="Calibri"/>
          <w:color w:val="002060"/>
          <w:sz w:val="20"/>
          <w:szCs w:val="20"/>
        </w:rPr>
        <w:t>Il s’agit en général de la partie la plus délicate car il est nécessaire d’expliquer de façon claire et crédible au lecteur quelles ont été les hypothèses de travail retenues en matière de chiffre d’affaires, de vente, de production et de marge.</w:t>
      </w:r>
    </w:p>
    <w:p w:rsidR="00720D8A" w:rsidRDefault="00720D8A" w:rsidP="00902EAD">
      <w:pPr>
        <w:spacing w:after="30"/>
        <w:jc w:val="both"/>
        <w:rPr>
          <w:rFonts w:ascii="Calibri" w:hAnsi="Calibri"/>
          <w:color w:val="002060"/>
          <w:sz w:val="20"/>
          <w:szCs w:val="20"/>
        </w:rPr>
      </w:pPr>
      <w:r w:rsidRPr="000A233D">
        <w:rPr>
          <w:rFonts w:ascii="Calibri" w:hAnsi="Calibri"/>
          <w:color w:val="002060"/>
          <w:sz w:val="20"/>
          <w:szCs w:val="20"/>
        </w:rPr>
        <w:t>Afin d’être crédible, les prévisions doivent se baser sur une analyse plus détaillée du fond de l’activité/des clients et des produits. Il peut s’agir par exemple de base la prévision de chiffre d’affaires selon une méthode :</w:t>
      </w:r>
    </w:p>
    <w:p w:rsidR="00902EAD" w:rsidRDefault="00902EAD" w:rsidP="00902EAD">
      <w:pPr>
        <w:pStyle w:val="Titre3"/>
        <w:numPr>
          <w:ilvl w:val="0"/>
          <w:numId w:val="2"/>
        </w:numPr>
        <w:spacing w:before="0" w:after="30"/>
        <w:ind w:left="170" w:hanging="170"/>
        <w:rPr>
          <w:rFonts w:ascii="Calibri" w:hAnsi="Calibri"/>
          <w:b w:val="0"/>
          <w:color w:val="002060"/>
          <w:sz w:val="20"/>
          <w:szCs w:val="20"/>
        </w:rPr>
      </w:pPr>
      <w:r w:rsidRPr="00902EAD">
        <w:rPr>
          <w:rFonts w:ascii="Calibri" w:hAnsi="Calibri"/>
          <w:b w:val="0"/>
          <w:color w:val="002060"/>
          <w:sz w:val="20"/>
          <w:szCs w:val="20"/>
        </w:rPr>
        <w:t>M</w:t>
      </w:r>
      <w:r w:rsidR="00720D8A" w:rsidRPr="00902EAD">
        <w:rPr>
          <w:rFonts w:ascii="Calibri" w:hAnsi="Calibri"/>
          <w:b w:val="0"/>
          <w:color w:val="002060"/>
          <w:sz w:val="20"/>
          <w:szCs w:val="20"/>
        </w:rPr>
        <w:t>arché global x % de clients prospects x % de non commande x  prix unitaire,</w:t>
      </w:r>
    </w:p>
    <w:p w:rsidR="00720D8A" w:rsidRPr="00902EAD" w:rsidRDefault="00902EAD" w:rsidP="00902EAD">
      <w:pPr>
        <w:pStyle w:val="Titre3"/>
        <w:numPr>
          <w:ilvl w:val="0"/>
          <w:numId w:val="2"/>
        </w:numPr>
        <w:spacing w:before="0"/>
        <w:ind w:left="170" w:hanging="170"/>
        <w:rPr>
          <w:rFonts w:ascii="Calibri" w:hAnsi="Calibri"/>
          <w:b w:val="0"/>
          <w:color w:val="002060"/>
          <w:sz w:val="20"/>
          <w:szCs w:val="20"/>
        </w:rPr>
      </w:pPr>
      <w:r w:rsidRPr="00902EAD">
        <w:rPr>
          <w:rFonts w:ascii="Calibri" w:hAnsi="Calibri"/>
          <w:b w:val="0"/>
          <w:color w:val="002060"/>
          <w:sz w:val="20"/>
          <w:szCs w:val="20"/>
        </w:rPr>
        <w:t>M</w:t>
      </w:r>
      <w:r w:rsidR="00720D8A" w:rsidRPr="00902EAD">
        <w:rPr>
          <w:rFonts w:ascii="Calibri" w:hAnsi="Calibri"/>
          <w:b w:val="0"/>
          <w:color w:val="002060"/>
          <w:sz w:val="20"/>
          <w:szCs w:val="20"/>
        </w:rPr>
        <w:t>oyens de communication mis en œuvre x % de retour x % de commande x panier moyen de commande,</w:t>
      </w:r>
    </w:p>
    <w:p w:rsidR="00B807E4" w:rsidRDefault="00720D8A" w:rsidP="00B807E4">
      <w:pPr>
        <w:spacing w:after="60"/>
        <w:jc w:val="both"/>
        <w:rPr>
          <w:rFonts w:ascii="Calibri" w:hAnsi="Calibri"/>
          <w:color w:val="002060"/>
          <w:sz w:val="20"/>
          <w:szCs w:val="20"/>
        </w:rPr>
      </w:pPr>
      <w:r w:rsidRPr="000A233D">
        <w:rPr>
          <w:rFonts w:ascii="Calibri" w:hAnsi="Calibri"/>
          <w:color w:val="002060"/>
          <w:sz w:val="20"/>
          <w:szCs w:val="20"/>
        </w:rPr>
        <w:t>La méthode dépend très fortement de l’activité exercée, mais les données justifiant le nombre porté dans les prévisions de vente doit faire l’objet d’une démarche précise et construite.</w:t>
      </w:r>
      <w:r w:rsidR="00B807E4">
        <w:rPr>
          <w:rFonts w:ascii="Calibri" w:hAnsi="Calibri"/>
          <w:color w:val="002060"/>
          <w:sz w:val="20"/>
          <w:szCs w:val="20"/>
        </w:rPr>
        <w:t xml:space="preserve"> </w:t>
      </w:r>
    </w:p>
    <w:p w:rsidR="00720D8A" w:rsidRPr="000A233D" w:rsidRDefault="00720D8A" w:rsidP="00902EAD">
      <w:pPr>
        <w:spacing w:after="30"/>
        <w:jc w:val="both"/>
        <w:rPr>
          <w:rFonts w:ascii="Calibri" w:hAnsi="Calibri"/>
          <w:color w:val="002060"/>
          <w:sz w:val="20"/>
          <w:szCs w:val="20"/>
        </w:rPr>
      </w:pPr>
      <w:r w:rsidRPr="000A233D">
        <w:rPr>
          <w:rFonts w:ascii="Calibri" w:hAnsi="Calibri"/>
          <w:color w:val="002060"/>
          <w:sz w:val="20"/>
          <w:szCs w:val="20"/>
        </w:rPr>
        <w:t>Ainsi, il doit être fait attention à dé-corréler plusieurs éléments :</w:t>
      </w:r>
    </w:p>
    <w:p w:rsidR="00720D8A" w:rsidRPr="000A233D" w:rsidRDefault="00902EAD" w:rsidP="00902EAD">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1B77EB9" wp14:editId="178544BE">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L’évolution</w:t>
      </w:r>
      <w:r w:rsidR="00720D8A" w:rsidRPr="000A233D">
        <w:rPr>
          <w:rFonts w:ascii="Calibri" w:hAnsi="Calibri"/>
          <w:color w:val="002060"/>
          <w:sz w:val="20"/>
          <w:szCs w:val="20"/>
        </w:rPr>
        <w:t xml:space="preserve"> du marché</w:t>
      </w:r>
    </w:p>
    <w:p w:rsidR="00720D8A" w:rsidRPr="000A233D" w:rsidRDefault="00902EAD" w:rsidP="00902EAD">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1B77EB9" wp14:editId="178544BE">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L’évolution</w:t>
      </w:r>
      <w:r w:rsidR="00720D8A" w:rsidRPr="000A233D">
        <w:rPr>
          <w:rFonts w:ascii="Calibri" w:hAnsi="Calibri"/>
          <w:color w:val="002060"/>
          <w:sz w:val="20"/>
          <w:szCs w:val="20"/>
        </w:rPr>
        <w:t xml:space="preserve"> du nombre de clients,</w:t>
      </w:r>
    </w:p>
    <w:p w:rsidR="00720D8A" w:rsidRPr="000A233D" w:rsidRDefault="00902EAD" w:rsidP="00902EA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1B77EB9" wp14:editId="178544BE">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L’évolution</w:t>
      </w:r>
      <w:r w:rsidR="00720D8A" w:rsidRPr="000A233D">
        <w:rPr>
          <w:rFonts w:ascii="Calibri" w:hAnsi="Calibri"/>
          <w:color w:val="002060"/>
          <w:sz w:val="20"/>
          <w:szCs w:val="20"/>
        </w:rPr>
        <w:t xml:space="preserve"> du taux de commande des clients,</w:t>
      </w:r>
    </w:p>
    <w:p w:rsidR="00720D8A" w:rsidRPr="000A233D" w:rsidRDefault="00613F3A">
      <w:pPr>
        <w:jc w:val="both"/>
        <w:rPr>
          <w:rFonts w:ascii="Calibri" w:hAnsi="Calibri"/>
          <w:color w:val="002060"/>
          <w:sz w:val="20"/>
          <w:szCs w:val="20"/>
        </w:rPr>
      </w:pPr>
      <w:r w:rsidRPr="000A233D">
        <w:rPr>
          <w:rFonts w:ascii="Calibri" w:hAnsi="Calibri"/>
          <w:color w:val="002060"/>
          <w:sz w:val="20"/>
          <w:szCs w:val="20"/>
        </w:rPr>
        <w:t>Ce</w:t>
      </w:r>
      <w:r w:rsidR="00720D8A" w:rsidRPr="000A233D">
        <w:rPr>
          <w:rFonts w:ascii="Calibri" w:hAnsi="Calibri"/>
          <w:color w:val="002060"/>
          <w:sz w:val="20"/>
          <w:szCs w:val="20"/>
        </w:rPr>
        <w:t xml:space="preserve"> qui donne les modifications quantitatives des produits/services demandés et l’évolution en </w:t>
      </w:r>
      <w:r w:rsidR="000473E6" w:rsidRPr="000A233D">
        <w:rPr>
          <w:rFonts w:ascii="Calibri" w:hAnsi="Calibri"/>
          <w:color w:val="002060"/>
          <w:sz w:val="20"/>
          <w:szCs w:val="20"/>
        </w:rPr>
        <w:t>termes</w:t>
      </w:r>
      <w:r w:rsidR="00720D8A" w:rsidRPr="000A233D">
        <w:rPr>
          <w:rFonts w:ascii="Calibri" w:hAnsi="Calibri"/>
          <w:color w:val="002060"/>
          <w:sz w:val="20"/>
          <w:szCs w:val="20"/>
        </w:rPr>
        <w:t xml:space="preserve"> de prix de vente de ces produits ou services.</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lastRenderedPageBreak/>
        <w:t>L’entreprise peut bénéficier (ou supporter) des évolutions cumulées en nombre et en valeur, mais elle peut également connaître des évolutions en sens opposé : augmentation en valeur et diminution en quantité. Il est alors important de fournir cette information au lecteur car il est possible qu’il ait une information ou une perception parcellaire du marché.</w:t>
      </w:r>
    </w:p>
    <w:p w:rsidR="00720D8A" w:rsidRPr="000A233D" w:rsidRDefault="00720D8A" w:rsidP="00902EAD">
      <w:pPr>
        <w:spacing w:after="30"/>
        <w:jc w:val="both"/>
        <w:rPr>
          <w:rFonts w:ascii="Calibri" w:hAnsi="Calibri"/>
          <w:color w:val="002060"/>
          <w:sz w:val="20"/>
          <w:szCs w:val="20"/>
        </w:rPr>
      </w:pPr>
      <w:r w:rsidRPr="000A233D">
        <w:rPr>
          <w:rFonts w:ascii="Calibri" w:hAnsi="Calibri"/>
          <w:color w:val="002060"/>
          <w:sz w:val="20"/>
          <w:szCs w:val="20"/>
        </w:rPr>
        <w:t>L’évolution de la marge, ou la prévision de marge, doit être également détaillée pour permettre au lecteur de comprendre comment s’effectue le positionnement de l’entreprise par rapport aux concurrents.</w:t>
      </w:r>
    </w:p>
    <w:p w:rsidR="00902EAD" w:rsidRDefault="00902EAD" w:rsidP="00902EAD">
      <w:pPr>
        <w:spacing w:after="3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0747208" wp14:editId="3E47983D">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20D8A" w:rsidRPr="000A233D">
        <w:rPr>
          <w:rFonts w:ascii="Calibri" w:hAnsi="Calibri"/>
          <w:color w:val="002060"/>
          <w:sz w:val="20"/>
          <w:szCs w:val="20"/>
        </w:rPr>
        <w:t xml:space="preserve">Soit l’entreprise a déjà une activité précédente, et dans ce cas la prévision de marge doit être systématiquement commentée par rapport aux résultats passés, </w:t>
      </w:r>
    </w:p>
    <w:p w:rsidR="00720D8A" w:rsidRPr="000A233D" w:rsidRDefault="00902EAD" w:rsidP="00902EAD">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0747208" wp14:editId="3E47983D">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Soit</w:t>
      </w:r>
      <w:r w:rsidR="00720D8A" w:rsidRPr="000A233D">
        <w:rPr>
          <w:rFonts w:ascii="Calibri" w:hAnsi="Calibri"/>
          <w:color w:val="002060"/>
          <w:sz w:val="20"/>
          <w:szCs w:val="20"/>
        </w:rPr>
        <w:t xml:space="preserve"> l’entreprise est une entreprise nouvelle et la prévision de marge doit impérativement être rapprochée de la marge du secteur et de ses concurrents.</w:t>
      </w:r>
    </w:p>
    <w:p w:rsidR="00613F3A" w:rsidRDefault="00720D8A" w:rsidP="00613F3A">
      <w:pPr>
        <w:spacing w:after="60"/>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Attention d’être extrêmement rigoureux dans la présentation du chiffre d’affaire, en particulier en ce qui concerne les termes employés qui doivent correspondre précisément  à l’aspect présenté : </w:t>
      </w:r>
    </w:p>
    <w:p w:rsidR="00902EAD" w:rsidRDefault="00720D8A" w:rsidP="00902EAD">
      <w:pPr>
        <w:pStyle w:val="Paragraphedeliste"/>
        <w:numPr>
          <w:ilvl w:val="3"/>
          <w:numId w:val="1"/>
        </w:numPr>
        <w:ind w:left="397" w:hanging="170"/>
        <w:contextualSpacing w:val="0"/>
        <w:jc w:val="both"/>
        <w:rPr>
          <w:rFonts w:ascii="Calibri" w:hAnsi="Calibri"/>
          <w:color w:val="002060"/>
          <w:sz w:val="20"/>
          <w:szCs w:val="20"/>
        </w:rPr>
      </w:pPr>
      <w:r w:rsidRPr="00613F3A">
        <w:rPr>
          <w:rFonts w:ascii="Calibri" w:hAnsi="Calibri"/>
          <w:color w:val="002060"/>
          <w:sz w:val="20"/>
          <w:szCs w:val="20"/>
        </w:rPr>
        <w:t xml:space="preserve">les ventes : </w:t>
      </w:r>
    </w:p>
    <w:p w:rsidR="00720D8A" w:rsidRPr="00613F3A" w:rsidRDefault="00902EAD" w:rsidP="00902EAD">
      <w:pPr>
        <w:pStyle w:val="Paragraphedeliste"/>
        <w:spacing w:after="60"/>
        <w:ind w:left="397"/>
        <w:contextualSpacing w:val="0"/>
        <w:jc w:val="both"/>
        <w:rPr>
          <w:rFonts w:ascii="Calibri" w:hAnsi="Calibri"/>
          <w:color w:val="002060"/>
          <w:sz w:val="20"/>
          <w:szCs w:val="20"/>
        </w:rPr>
      </w:pPr>
      <w:r w:rsidRPr="00613F3A">
        <w:rPr>
          <w:rFonts w:ascii="Calibri" w:hAnsi="Calibri"/>
          <w:color w:val="002060"/>
          <w:sz w:val="20"/>
          <w:szCs w:val="20"/>
        </w:rPr>
        <w:t>Ce</w:t>
      </w:r>
      <w:r w:rsidR="00720D8A" w:rsidRPr="00613F3A">
        <w:rPr>
          <w:rFonts w:ascii="Calibri" w:hAnsi="Calibri"/>
          <w:color w:val="002060"/>
          <w:sz w:val="20"/>
          <w:szCs w:val="20"/>
        </w:rPr>
        <w:t xml:space="preserve"> terme s’applique en cas de ventes au comptant car cette notion recouvre alors celle de chiffre d’affaires. Si l’activité n’est pas une vente comptant (vente de détail à des particuliers B</w:t>
      </w:r>
      <w:r w:rsidR="002F3B9C" w:rsidRPr="00613F3A">
        <w:rPr>
          <w:rFonts w:ascii="Calibri" w:hAnsi="Calibri"/>
          <w:color w:val="002060"/>
          <w:sz w:val="20"/>
          <w:szCs w:val="20"/>
        </w:rPr>
        <w:t>-</w:t>
      </w:r>
      <w:r w:rsidR="00720D8A" w:rsidRPr="00613F3A">
        <w:rPr>
          <w:rFonts w:ascii="Calibri" w:hAnsi="Calibri"/>
          <w:color w:val="002060"/>
          <w:sz w:val="20"/>
          <w:szCs w:val="20"/>
        </w:rPr>
        <w:t>to</w:t>
      </w:r>
      <w:r w:rsidR="002F3B9C" w:rsidRPr="00613F3A">
        <w:rPr>
          <w:rFonts w:ascii="Calibri" w:hAnsi="Calibri"/>
          <w:color w:val="002060"/>
          <w:sz w:val="20"/>
          <w:szCs w:val="20"/>
        </w:rPr>
        <w:t>-</w:t>
      </w:r>
      <w:r w:rsidR="00720D8A" w:rsidRPr="00613F3A">
        <w:rPr>
          <w:rFonts w:ascii="Calibri" w:hAnsi="Calibri"/>
          <w:color w:val="002060"/>
          <w:sz w:val="20"/>
          <w:szCs w:val="20"/>
        </w:rPr>
        <w:t>C par exemple), le terme de ventes est peu précis et doit être évité,</w:t>
      </w:r>
    </w:p>
    <w:p w:rsidR="00902EAD" w:rsidRDefault="00720D8A" w:rsidP="00902EAD">
      <w:pPr>
        <w:pStyle w:val="Paragraphedeliste"/>
        <w:numPr>
          <w:ilvl w:val="3"/>
          <w:numId w:val="1"/>
        </w:numPr>
        <w:ind w:left="397" w:hanging="170"/>
        <w:contextualSpacing w:val="0"/>
        <w:jc w:val="both"/>
        <w:rPr>
          <w:rFonts w:ascii="Calibri" w:hAnsi="Calibri"/>
          <w:color w:val="002060"/>
          <w:sz w:val="20"/>
          <w:szCs w:val="20"/>
        </w:rPr>
      </w:pPr>
      <w:r w:rsidRPr="00613F3A">
        <w:rPr>
          <w:rFonts w:ascii="Calibri" w:hAnsi="Calibri"/>
          <w:color w:val="002060"/>
          <w:sz w:val="20"/>
          <w:szCs w:val="20"/>
        </w:rPr>
        <w:t xml:space="preserve">le chiffre d’affaires : </w:t>
      </w:r>
    </w:p>
    <w:p w:rsidR="00720D8A" w:rsidRPr="00613F3A" w:rsidRDefault="00902EAD" w:rsidP="00902EAD">
      <w:pPr>
        <w:pStyle w:val="Paragraphedeliste"/>
        <w:spacing w:after="60"/>
        <w:ind w:left="397"/>
        <w:contextualSpacing w:val="0"/>
        <w:jc w:val="both"/>
        <w:rPr>
          <w:rFonts w:ascii="Calibri" w:hAnsi="Calibri"/>
          <w:color w:val="002060"/>
          <w:sz w:val="20"/>
          <w:szCs w:val="20"/>
        </w:rPr>
      </w:pPr>
      <w:r w:rsidRPr="00613F3A">
        <w:rPr>
          <w:rFonts w:ascii="Calibri" w:hAnsi="Calibri"/>
          <w:color w:val="002060"/>
          <w:sz w:val="20"/>
          <w:szCs w:val="20"/>
        </w:rPr>
        <w:t>Il</w:t>
      </w:r>
      <w:r w:rsidR="00720D8A" w:rsidRPr="00613F3A">
        <w:rPr>
          <w:rFonts w:ascii="Calibri" w:hAnsi="Calibri"/>
          <w:color w:val="002060"/>
          <w:sz w:val="20"/>
          <w:szCs w:val="20"/>
        </w:rPr>
        <w:t xml:space="preserve"> s’agit de l’acquisition comptable et juridique des produits (en général ceci correspond à la facturation). Cette notion est à déconnecter de la notion de trésorerie. Un cas spécial peut se produire lorsque la facturation se rapporte à une période de prestation (par exemple le contrat de maintenance) car alors le produit n’est acquis qu’en fonction de la durée, prorata </w:t>
      </w:r>
      <w:proofErr w:type="spellStart"/>
      <w:r w:rsidR="00720D8A" w:rsidRPr="00613F3A">
        <w:rPr>
          <w:rFonts w:ascii="Calibri" w:hAnsi="Calibri"/>
          <w:color w:val="002060"/>
          <w:sz w:val="20"/>
          <w:szCs w:val="20"/>
        </w:rPr>
        <w:t>temporis</w:t>
      </w:r>
      <w:proofErr w:type="spellEnd"/>
      <w:r w:rsidR="00720D8A" w:rsidRPr="00613F3A">
        <w:rPr>
          <w:rFonts w:ascii="Calibri" w:hAnsi="Calibri"/>
          <w:color w:val="002060"/>
          <w:sz w:val="20"/>
          <w:szCs w:val="20"/>
        </w:rPr>
        <w:t xml:space="preserve"> par rapport à la période facturée,</w:t>
      </w:r>
    </w:p>
    <w:p w:rsidR="00902EAD" w:rsidRDefault="00720D8A" w:rsidP="00902EAD">
      <w:pPr>
        <w:pStyle w:val="Paragraphedeliste"/>
        <w:numPr>
          <w:ilvl w:val="3"/>
          <w:numId w:val="1"/>
        </w:numPr>
        <w:ind w:left="397" w:hanging="170"/>
        <w:contextualSpacing w:val="0"/>
        <w:jc w:val="both"/>
        <w:rPr>
          <w:rFonts w:ascii="Calibri" w:hAnsi="Calibri"/>
          <w:color w:val="002060"/>
          <w:sz w:val="20"/>
          <w:szCs w:val="20"/>
        </w:rPr>
      </w:pPr>
      <w:r w:rsidRPr="00613F3A">
        <w:rPr>
          <w:rFonts w:ascii="Calibri" w:hAnsi="Calibri"/>
          <w:color w:val="002060"/>
          <w:sz w:val="20"/>
          <w:szCs w:val="20"/>
        </w:rPr>
        <w:t xml:space="preserve">la production : </w:t>
      </w:r>
    </w:p>
    <w:p w:rsidR="00902EAD" w:rsidRDefault="00902EAD" w:rsidP="00902EAD">
      <w:pPr>
        <w:pStyle w:val="Paragraphedeliste"/>
        <w:ind w:left="397"/>
        <w:contextualSpacing w:val="0"/>
        <w:jc w:val="both"/>
        <w:rPr>
          <w:rFonts w:ascii="Calibri" w:hAnsi="Calibri"/>
          <w:color w:val="002060"/>
          <w:sz w:val="20"/>
          <w:szCs w:val="20"/>
        </w:rPr>
      </w:pPr>
      <w:r w:rsidRPr="00613F3A">
        <w:rPr>
          <w:rFonts w:ascii="Calibri" w:hAnsi="Calibri"/>
          <w:color w:val="002060"/>
          <w:sz w:val="20"/>
          <w:szCs w:val="20"/>
        </w:rPr>
        <w:t>Il</w:t>
      </w:r>
      <w:r w:rsidR="00720D8A" w:rsidRPr="00613F3A">
        <w:rPr>
          <w:rFonts w:ascii="Calibri" w:hAnsi="Calibri"/>
          <w:color w:val="002060"/>
          <w:sz w:val="20"/>
          <w:szCs w:val="20"/>
        </w:rPr>
        <w:t xml:space="preserve"> s’agit d’une notion comptable et financière qui permet de tenir compte du décalage entre le moment où la fabrication est réalisée (production de bi</w:t>
      </w:r>
      <w:r>
        <w:rPr>
          <w:rFonts w:ascii="Calibri" w:hAnsi="Calibri"/>
          <w:color w:val="002060"/>
          <w:sz w:val="20"/>
          <w:szCs w:val="20"/>
        </w:rPr>
        <w:t>en</w:t>
      </w:r>
      <w:r w:rsidR="00720D8A" w:rsidRPr="00613F3A">
        <w:rPr>
          <w:rFonts w:ascii="Calibri" w:hAnsi="Calibri"/>
          <w:color w:val="002060"/>
          <w:sz w:val="20"/>
          <w:szCs w:val="20"/>
        </w:rPr>
        <w:t xml:space="preserve">s ou de services) et le moment où elle est vendue et facturée. La différence entre les deux réside dans la variation des travaux en cours/stocks de produits finis. </w:t>
      </w:r>
    </w:p>
    <w:p w:rsidR="00720D8A" w:rsidRPr="00613F3A" w:rsidRDefault="00720D8A" w:rsidP="00902EAD">
      <w:pPr>
        <w:pStyle w:val="Paragraphedeliste"/>
        <w:spacing w:after="60"/>
        <w:ind w:left="397"/>
        <w:contextualSpacing w:val="0"/>
        <w:jc w:val="both"/>
        <w:rPr>
          <w:rFonts w:ascii="Calibri" w:hAnsi="Calibri"/>
          <w:color w:val="002060"/>
          <w:sz w:val="20"/>
          <w:szCs w:val="20"/>
        </w:rPr>
      </w:pPr>
      <w:r w:rsidRPr="00613F3A">
        <w:rPr>
          <w:rFonts w:ascii="Calibri" w:hAnsi="Calibri"/>
          <w:color w:val="002060"/>
          <w:sz w:val="20"/>
          <w:szCs w:val="20"/>
        </w:rPr>
        <w:t>Cette distinction est essentielle car d’une part elle va générer une différence importante entre le chiffre d’affaires et les produits comptables du résultat (dans un sens positif comme dans un sens négatif) et d’autre part, l’augmentation des encours ou des stocks de produits finis a un impact très négatif en trésorerie,</w:t>
      </w:r>
    </w:p>
    <w:p w:rsidR="00902EAD" w:rsidRDefault="00720D8A" w:rsidP="00902EAD">
      <w:pPr>
        <w:pStyle w:val="Paragraphedeliste"/>
        <w:numPr>
          <w:ilvl w:val="3"/>
          <w:numId w:val="1"/>
        </w:numPr>
        <w:ind w:left="397" w:hanging="170"/>
        <w:contextualSpacing w:val="0"/>
        <w:jc w:val="both"/>
        <w:rPr>
          <w:rFonts w:ascii="Calibri" w:hAnsi="Calibri"/>
          <w:color w:val="002060"/>
          <w:sz w:val="20"/>
          <w:szCs w:val="20"/>
        </w:rPr>
      </w:pPr>
      <w:r w:rsidRPr="00613F3A">
        <w:rPr>
          <w:rFonts w:ascii="Calibri" w:hAnsi="Calibri"/>
          <w:color w:val="002060"/>
          <w:sz w:val="20"/>
          <w:szCs w:val="20"/>
        </w:rPr>
        <w:t xml:space="preserve">les recettes : </w:t>
      </w:r>
    </w:p>
    <w:p w:rsidR="00902EAD" w:rsidRDefault="00902EAD" w:rsidP="00902EAD">
      <w:pPr>
        <w:pStyle w:val="Paragraphedeliste"/>
        <w:ind w:left="397"/>
        <w:contextualSpacing w:val="0"/>
        <w:jc w:val="both"/>
        <w:rPr>
          <w:rFonts w:ascii="Calibri" w:hAnsi="Calibri"/>
          <w:color w:val="002060"/>
          <w:sz w:val="20"/>
          <w:szCs w:val="20"/>
        </w:rPr>
      </w:pPr>
      <w:r w:rsidRPr="00613F3A">
        <w:rPr>
          <w:rFonts w:ascii="Calibri" w:hAnsi="Calibri"/>
          <w:color w:val="002060"/>
          <w:sz w:val="20"/>
          <w:szCs w:val="20"/>
        </w:rPr>
        <w:t>On</w:t>
      </w:r>
      <w:r w:rsidR="00720D8A" w:rsidRPr="00613F3A">
        <w:rPr>
          <w:rFonts w:ascii="Calibri" w:hAnsi="Calibri"/>
          <w:color w:val="002060"/>
          <w:sz w:val="20"/>
          <w:szCs w:val="20"/>
        </w:rPr>
        <w:t xml:space="preserve"> entend généralement par recettes le montant des encaissements (dans des activités de vente au comptant). </w:t>
      </w:r>
    </w:p>
    <w:p w:rsidR="00720D8A" w:rsidRPr="00613F3A" w:rsidRDefault="00720D8A" w:rsidP="00902EAD">
      <w:pPr>
        <w:pStyle w:val="Paragraphedeliste"/>
        <w:spacing w:after="60"/>
        <w:ind w:left="397"/>
        <w:contextualSpacing w:val="0"/>
        <w:jc w:val="both"/>
        <w:rPr>
          <w:rFonts w:ascii="Calibri" w:hAnsi="Calibri"/>
          <w:color w:val="002060"/>
          <w:sz w:val="20"/>
          <w:szCs w:val="20"/>
        </w:rPr>
      </w:pPr>
      <w:r w:rsidRPr="00613F3A">
        <w:rPr>
          <w:rFonts w:ascii="Calibri" w:hAnsi="Calibri"/>
          <w:color w:val="002060"/>
          <w:sz w:val="20"/>
          <w:szCs w:val="20"/>
        </w:rPr>
        <w:t>Attention car ces sommes sont souvent exprimées TTC,</w:t>
      </w:r>
    </w:p>
    <w:p w:rsidR="00902EAD" w:rsidRDefault="00720D8A" w:rsidP="00902EAD">
      <w:pPr>
        <w:pStyle w:val="Paragraphedeliste"/>
        <w:numPr>
          <w:ilvl w:val="3"/>
          <w:numId w:val="1"/>
        </w:numPr>
        <w:ind w:left="397" w:hanging="170"/>
        <w:contextualSpacing w:val="0"/>
        <w:jc w:val="both"/>
        <w:rPr>
          <w:rFonts w:ascii="Calibri" w:hAnsi="Calibri"/>
          <w:color w:val="002060"/>
          <w:sz w:val="20"/>
          <w:szCs w:val="20"/>
        </w:rPr>
      </w:pPr>
      <w:r w:rsidRPr="00613F3A">
        <w:rPr>
          <w:rFonts w:ascii="Calibri" w:hAnsi="Calibri"/>
          <w:color w:val="002060"/>
          <w:sz w:val="20"/>
          <w:szCs w:val="20"/>
        </w:rPr>
        <w:t xml:space="preserve">les encaissements : </w:t>
      </w:r>
    </w:p>
    <w:p w:rsidR="00720D8A" w:rsidRPr="00613F3A" w:rsidRDefault="00902EAD" w:rsidP="00902EAD">
      <w:pPr>
        <w:pStyle w:val="Paragraphedeliste"/>
        <w:spacing w:after="120"/>
        <w:ind w:left="397"/>
        <w:contextualSpacing w:val="0"/>
        <w:jc w:val="both"/>
        <w:rPr>
          <w:rFonts w:ascii="Calibri" w:hAnsi="Calibri"/>
          <w:color w:val="002060"/>
          <w:sz w:val="20"/>
          <w:szCs w:val="20"/>
        </w:rPr>
      </w:pPr>
      <w:r w:rsidRPr="00613F3A">
        <w:rPr>
          <w:rFonts w:ascii="Calibri" w:hAnsi="Calibri"/>
          <w:color w:val="002060"/>
          <w:sz w:val="20"/>
          <w:szCs w:val="20"/>
        </w:rPr>
        <w:t>Il</w:t>
      </w:r>
      <w:r w:rsidR="00720D8A" w:rsidRPr="00613F3A">
        <w:rPr>
          <w:rFonts w:ascii="Calibri" w:hAnsi="Calibri"/>
          <w:color w:val="002060"/>
          <w:sz w:val="20"/>
          <w:szCs w:val="20"/>
        </w:rPr>
        <w:t xml:space="preserve"> existe</w:t>
      </w:r>
      <w:r>
        <w:rPr>
          <w:rFonts w:ascii="Calibri" w:hAnsi="Calibri"/>
          <w:color w:val="002060"/>
          <w:sz w:val="20"/>
          <w:szCs w:val="20"/>
        </w:rPr>
        <w:t xml:space="preserve">, </w:t>
      </w:r>
      <w:r w:rsidR="00720D8A" w:rsidRPr="00613F3A">
        <w:rPr>
          <w:rFonts w:ascii="Calibri" w:hAnsi="Calibri"/>
          <w:color w:val="002060"/>
          <w:sz w:val="20"/>
          <w:szCs w:val="20"/>
        </w:rPr>
        <w:t>hors commerce de détail, une distinction fondamentale entre le moment où les factures sont émises ou les produits acquis, et le moment où ils sont encaissés. Il est nécessaire de retenir cette distinction, même si l’entreprise dispose de moyen de financement comme le factor, car cela permet d’en cerner le coût et les limites.</w:t>
      </w:r>
    </w:p>
    <w:p w:rsidR="00387A67" w:rsidRDefault="00720D8A" w:rsidP="00613F3A">
      <w:pPr>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La notion de marge peut être étendue bien au-delà de la seule marge commerciale ou marge de fabrication. </w:t>
      </w:r>
    </w:p>
    <w:p w:rsidR="00387A67" w:rsidRDefault="00720D8A" w:rsidP="00387A67">
      <w:pPr>
        <w:ind w:left="227"/>
        <w:jc w:val="both"/>
        <w:rPr>
          <w:rFonts w:ascii="Calibri" w:hAnsi="Calibri"/>
          <w:color w:val="002060"/>
          <w:sz w:val="20"/>
          <w:szCs w:val="20"/>
        </w:rPr>
      </w:pPr>
      <w:r w:rsidRPr="000A233D">
        <w:rPr>
          <w:rFonts w:ascii="Calibri" w:hAnsi="Calibri"/>
          <w:color w:val="002060"/>
          <w:sz w:val="20"/>
          <w:szCs w:val="20"/>
        </w:rPr>
        <w:t xml:space="preserve">Une notion plus large incluant l’ensemble des frais variables et proportionnels au chiffre d’affaires permet de présenter une marge sur coûts variables. </w:t>
      </w:r>
    </w:p>
    <w:p w:rsidR="00720D8A" w:rsidRPr="000A233D" w:rsidRDefault="00720D8A" w:rsidP="00387A67">
      <w:pPr>
        <w:ind w:left="227"/>
        <w:jc w:val="both"/>
        <w:rPr>
          <w:rFonts w:ascii="Calibri" w:hAnsi="Calibri"/>
          <w:color w:val="002060"/>
          <w:sz w:val="20"/>
          <w:szCs w:val="20"/>
        </w:rPr>
      </w:pPr>
      <w:r w:rsidRPr="000A233D">
        <w:rPr>
          <w:rFonts w:ascii="Calibri" w:hAnsi="Calibri"/>
          <w:color w:val="002060"/>
          <w:sz w:val="20"/>
          <w:szCs w:val="20"/>
        </w:rPr>
        <w:t>Cette marge sur coûts variables permet d’approcher au mieux le point mort de l’entreprise et ce que sont réellement les charges fixes.</w:t>
      </w:r>
    </w:p>
    <w:p w:rsidR="00720D8A" w:rsidRPr="00040C66" w:rsidRDefault="00720D8A" w:rsidP="000473E6">
      <w:pPr>
        <w:pStyle w:val="Titre2"/>
        <w:spacing w:before="120"/>
        <w:jc w:val="both"/>
        <w:rPr>
          <w:rFonts w:ascii="Calibri" w:hAnsi="Calibri"/>
          <w:color w:val="002060"/>
          <w:sz w:val="20"/>
          <w:szCs w:val="20"/>
        </w:rPr>
      </w:pPr>
      <w:bookmarkStart w:id="14" w:name="_Toc529805663"/>
      <w:r w:rsidRPr="00040C66">
        <w:rPr>
          <w:rFonts w:ascii="Calibri" w:hAnsi="Calibri"/>
          <w:color w:val="002060"/>
          <w:sz w:val="20"/>
          <w:szCs w:val="20"/>
        </w:rPr>
        <w:t>Charges fixes externes</w:t>
      </w:r>
      <w:bookmarkEnd w:id="14"/>
    </w:p>
    <w:p w:rsidR="00CD6225"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 xml:space="preserve">La budgétisation peut être effectuée de façon rapide et basique en fonction de la moyenne des charges des années précédentes ou </w:t>
      </w:r>
      <w:r w:rsidR="00040C66" w:rsidRPr="000A233D">
        <w:rPr>
          <w:rFonts w:ascii="Calibri" w:hAnsi="Calibri"/>
          <w:color w:val="002060"/>
          <w:sz w:val="20"/>
          <w:szCs w:val="20"/>
        </w:rPr>
        <w:t>d’une période précédente</w:t>
      </w:r>
      <w:r w:rsidRPr="000A233D">
        <w:rPr>
          <w:rFonts w:ascii="Calibri" w:hAnsi="Calibri"/>
          <w:color w:val="002060"/>
          <w:sz w:val="20"/>
          <w:szCs w:val="20"/>
        </w:rPr>
        <w:t xml:space="preserve">. Toutefois, il est nettement préférable de présenter le budget de charges fixes en effectuant une analyse détaillée de chaque compte, et même en effectuant une analyse détaillée du contenu de chaque compte. </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C’est ainsi que l’on peut :</w:t>
      </w:r>
    </w:p>
    <w:p w:rsidR="00720D8A" w:rsidRPr="000A233D" w:rsidRDefault="00613F3A" w:rsidP="00613F3A">
      <w:pPr>
        <w:spacing w:after="60"/>
        <w:ind w:left="170" w:hanging="170"/>
        <w:jc w:val="both"/>
        <w:rPr>
          <w:rFonts w:ascii="Calibri" w:hAnsi="Calibri"/>
          <w:color w:val="002060"/>
          <w:sz w:val="20"/>
          <w:szCs w:val="20"/>
        </w:rPr>
      </w:pPr>
      <w:r>
        <w:rPr>
          <w:rFonts w:ascii="Calibri" w:hAnsi="Calibri"/>
          <w:color w:val="002060"/>
          <w:sz w:val="20"/>
          <w:szCs w:val="20"/>
        </w:rPr>
        <w:t>1.</w:t>
      </w:r>
      <w:r w:rsidR="00720D8A" w:rsidRPr="000A233D">
        <w:rPr>
          <w:rFonts w:ascii="Calibri" w:hAnsi="Calibri"/>
          <w:color w:val="002060"/>
          <w:sz w:val="20"/>
          <w:szCs w:val="20"/>
        </w:rPr>
        <w:t xml:space="preserve"> </w:t>
      </w:r>
      <w:r w:rsidR="00387A67">
        <w:rPr>
          <w:rFonts w:ascii="Calibri" w:hAnsi="Calibri"/>
          <w:color w:val="002060"/>
          <w:sz w:val="20"/>
          <w:szCs w:val="20"/>
        </w:rPr>
        <w:t>A</w:t>
      </w:r>
      <w:r w:rsidR="00720D8A" w:rsidRPr="000A233D">
        <w:rPr>
          <w:rFonts w:ascii="Calibri" w:hAnsi="Calibri"/>
          <w:color w:val="002060"/>
          <w:sz w:val="20"/>
          <w:szCs w:val="20"/>
        </w:rPr>
        <w:t>juster au mieux les charges en corrigeant les charges exceptionnelles des périodes précédentes, en corrigeant les charges qui ont été arrêtées, ou au contraire en retenant pour le bon montant, les charges qui ont commencé récemment,</w:t>
      </w:r>
    </w:p>
    <w:p w:rsidR="00720D8A" w:rsidRPr="000A233D" w:rsidRDefault="00613F3A" w:rsidP="00613F3A">
      <w:pPr>
        <w:spacing w:after="120"/>
        <w:ind w:left="170" w:hanging="170"/>
        <w:jc w:val="both"/>
        <w:rPr>
          <w:rFonts w:ascii="Calibri" w:hAnsi="Calibri"/>
          <w:color w:val="002060"/>
          <w:sz w:val="20"/>
          <w:szCs w:val="20"/>
        </w:rPr>
      </w:pPr>
      <w:r>
        <w:rPr>
          <w:rFonts w:ascii="Calibri" w:hAnsi="Calibri"/>
          <w:color w:val="002060"/>
          <w:sz w:val="20"/>
          <w:szCs w:val="20"/>
        </w:rPr>
        <w:t>2.</w:t>
      </w:r>
      <w:r w:rsidR="00720D8A" w:rsidRPr="000A233D">
        <w:rPr>
          <w:rFonts w:ascii="Calibri" w:hAnsi="Calibri"/>
          <w:color w:val="002060"/>
          <w:sz w:val="20"/>
          <w:szCs w:val="20"/>
        </w:rPr>
        <w:t xml:space="preserve"> </w:t>
      </w:r>
      <w:r w:rsidR="00387A67">
        <w:rPr>
          <w:rFonts w:ascii="Calibri" w:hAnsi="Calibri"/>
          <w:color w:val="002060"/>
          <w:sz w:val="20"/>
          <w:szCs w:val="20"/>
        </w:rPr>
        <w:t>P</w:t>
      </w:r>
      <w:r w:rsidR="00720D8A" w:rsidRPr="000A233D">
        <w:rPr>
          <w:rFonts w:ascii="Calibri" w:hAnsi="Calibri"/>
          <w:color w:val="002060"/>
          <w:sz w:val="20"/>
          <w:szCs w:val="20"/>
        </w:rPr>
        <w:t>réparer le budget de décaissement des charges car la périodicité de paiement n’est pas la même pour des assurances (d’avance annuel), des leasings (d’avance par mois), des loyers (d’avance ou échu, mensuel ou trimestriel), du téléphone et électricité (tous les 2 mois) et d’autres charges annuelles.</w:t>
      </w:r>
    </w:p>
    <w:p w:rsidR="004A0294" w:rsidRPr="000A233D" w:rsidRDefault="00720D8A" w:rsidP="00613F3A">
      <w:pPr>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Les charges fixes externes correspondent en comptabilité aux comptes de charges 60,61 et 62 qui n’auraient pas déjà été retenues parmi les charges variables.</w:t>
      </w:r>
    </w:p>
    <w:p w:rsidR="00720D8A" w:rsidRPr="00040C66" w:rsidRDefault="00720D8A" w:rsidP="00387A67">
      <w:pPr>
        <w:pStyle w:val="Titre2"/>
        <w:spacing w:before="120"/>
        <w:jc w:val="both"/>
        <w:rPr>
          <w:rFonts w:ascii="Calibri" w:hAnsi="Calibri"/>
          <w:color w:val="002060"/>
          <w:sz w:val="20"/>
          <w:szCs w:val="20"/>
        </w:rPr>
      </w:pPr>
      <w:bookmarkStart w:id="15" w:name="_Toc529805664"/>
      <w:r w:rsidRPr="00040C66">
        <w:rPr>
          <w:rFonts w:ascii="Calibri" w:hAnsi="Calibri"/>
          <w:color w:val="002060"/>
          <w:sz w:val="20"/>
          <w:szCs w:val="20"/>
        </w:rPr>
        <w:t>Charges de personnel</w:t>
      </w:r>
      <w:bookmarkEnd w:id="15"/>
    </w:p>
    <w:p w:rsidR="00720D8A" w:rsidRPr="000A233D" w:rsidRDefault="00720D8A" w:rsidP="0076533D">
      <w:pPr>
        <w:spacing w:after="60"/>
        <w:jc w:val="both"/>
        <w:rPr>
          <w:rFonts w:ascii="Calibri" w:hAnsi="Calibri"/>
          <w:color w:val="002060"/>
          <w:sz w:val="20"/>
          <w:szCs w:val="20"/>
        </w:rPr>
      </w:pPr>
      <w:r w:rsidRPr="000A233D">
        <w:rPr>
          <w:rFonts w:ascii="Calibri" w:hAnsi="Calibri"/>
          <w:color w:val="002060"/>
          <w:sz w:val="20"/>
          <w:szCs w:val="20"/>
        </w:rPr>
        <w:t>Les prévisions de charges de personnel doivent être effectuées en regard avec la charge de travail prévue. Ainsi, il est toujours préférable de détailler les prévisions de personnel par poste, et en particulier pour ce qui concerne</w:t>
      </w:r>
      <w:r w:rsidR="000A233D">
        <w:rPr>
          <w:rFonts w:ascii="Calibri" w:hAnsi="Calibri"/>
          <w:color w:val="002060"/>
          <w:sz w:val="20"/>
          <w:szCs w:val="20"/>
        </w:rPr>
        <w:t> :</w:t>
      </w:r>
      <w:r w:rsidRPr="000A233D">
        <w:rPr>
          <w:rFonts w:ascii="Calibri" w:hAnsi="Calibri"/>
          <w:color w:val="002060"/>
          <w:sz w:val="20"/>
          <w:szCs w:val="20"/>
        </w:rPr>
        <w:t xml:space="preserve"> </w:t>
      </w:r>
    </w:p>
    <w:p w:rsidR="00720D8A" w:rsidRPr="00387A67" w:rsidRDefault="00387A67" w:rsidP="00387A67">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570D8B7" wp14:editId="4536BB53">
            <wp:extent cx="114300" cy="95250"/>
            <wp:effectExtent l="0" t="0" r="0" b="0"/>
            <wp:docPr id="19" name="Imag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87A67">
        <w:rPr>
          <w:rFonts w:ascii="Calibri" w:hAnsi="Calibri"/>
          <w:color w:val="002060"/>
          <w:sz w:val="20"/>
          <w:szCs w:val="20"/>
        </w:rPr>
        <w:t>Les</w:t>
      </w:r>
      <w:r w:rsidR="00720D8A" w:rsidRPr="00387A67">
        <w:rPr>
          <w:rFonts w:ascii="Calibri" w:hAnsi="Calibri"/>
          <w:color w:val="002060"/>
          <w:sz w:val="20"/>
          <w:szCs w:val="20"/>
        </w:rPr>
        <w:t xml:space="preserve"> postes de commerciaux car il existe la plupart du temps une corrélation directe entre les personnes effectuant le commercial et le niveau d’activité prévu,</w:t>
      </w:r>
    </w:p>
    <w:p w:rsidR="00720D8A" w:rsidRPr="00387A67" w:rsidRDefault="00387A67" w:rsidP="00387A67">
      <w:pPr>
        <w:spacing w:after="60"/>
        <w:ind w:left="170" w:hanging="170"/>
        <w:jc w:val="both"/>
        <w:rPr>
          <w:rFonts w:ascii="Calibri" w:hAnsi="Calibri"/>
          <w:color w:val="002060"/>
          <w:sz w:val="20"/>
          <w:szCs w:val="20"/>
        </w:rPr>
      </w:pPr>
      <w:r w:rsidRPr="00355993">
        <w:rPr>
          <w:rFonts w:ascii="Calibri" w:hAnsi="Calibri"/>
          <w:noProof/>
          <w:color w:val="002060"/>
          <w:sz w:val="20"/>
          <w:szCs w:val="20"/>
        </w:rPr>
        <w:lastRenderedPageBreak/>
        <w:drawing>
          <wp:inline distT="0" distB="0" distL="0" distR="0" wp14:anchorId="3570D8B7" wp14:editId="4536BB53">
            <wp:extent cx="114300" cy="95250"/>
            <wp:effectExtent l="0" t="0" r="0" b="0"/>
            <wp:docPr id="20" name="Image 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87A67">
        <w:rPr>
          <w:rFonts w:ascii="Calibri" w:hAnsi="Calibri"/>
          <w:color w:val="002060"/>
          <w:sz w:val="20"/>
          <w:szCs w:val="20"/>
        </w:rPr>
        <w:t>Les</w:t>
      </w:r>
      <w:r w:rsidR="00720D8A" w:rsidRPr="00387A67">
        <w:rPr>
          <w:rFonts w:ascii="Calibri" w:hAnsi="Calibri"/>
          <w:color w:val="002060"/>
          <w:sz w:val="20"/>
          <w:szCs w:val="20"/>
        </w:rPr>
        <w:t xml:space="preserve"> postes de « productifs » car le niveau d’activité prévu doit être mis en regard de l’effectif productif. En ce qui concerne l’effectif productif, faire particulièrement attention aux ratios de la profession à la capacité maximale de « production » de chaque salarié en tenant compte des périodes non productives (en particulier congés, périodes d’inactivité ou de sous activité, creux de planning, ..) et de formation (absences formation, période de « rodage » pendant laquelle on est moins efficace, ..)</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Prévoir également les variations d’effectif sur la période de prévisions, mais aussi les éventuelles « primes » qui pourront être accordées. Les primes « de droit » (contrat de travail, convention collective ou usage de l’entreprise, ..) doivent être clairement prévues et provisionnées (il peut s’agir de primes de vacances, de 13</w:t>
      </w:r>
      <w:r w:rsidRPr="000A233D">
        <w:rPr>
          <w:rFonts w:ascii="Calibri" w:hAnsi="Calibri"/>
          <w:color w:val="002060"/>
          <w:sz w:val="20"/>
          <w:szCs w:val="20"/>
          <w:vertAlign w:val="superscript"/>
        </w:rPr>
        <w:t>e</w:t>
      </w:r>
      <w:r w:rsidRPr="000A233D">
        <w:rPr>
          <w:rFonts w:ascii="Calibri" w:hAnsi="Calibri"/>
          <w:color w:val="002060"/>
          <w:sz w:val="20"/>
          <w:szCs w:val="20"/>
        </w:rPr>
        <w:t xml:space="preserve"> mois, ..). Il est souvent prudent de provisionner d’autres primes qui pourraient être versées, même si elles sont entièrement discrétionnaires et que les inclure dans les prévisions n’engage pas l’entreprise.</w:t>
      </w:r>
    </w:p>
    <w:p w:rsidR="00720D8A" w:rsidRPr="000A233D" w:rsidRDefault="00720D8A" w:rsidP="00387A67">
      <w:pPr>
        <w:spacing w:after="30"/>
        <w:jc w:val="both"/>
        <w:rPr>
          <w:rFonts w:ascii="Calibri" w:hAnsi="Calibri"/>
          <w:color w:val="002060"/>
          <w:sz w:val="20"/>
          <w:szCs w:val="20"/>
        </w:rPr>
      </w:pPr>
      <w:r w:rsidRPr="000A233D">
        <w:rPr>
          <w:rFonts w:ascii="Calibri" w:hAnsi="Calibri"/>
          <w:color w:val="002060"/>
          <w:sz w:val="20"/>
          <w:szCs w:val="20"/>
        </w:rPr>
        <w:t>En ce qui concerne les congés payés, il est</w:t>
      </w:r>
      <w:r w:rsidR="00387A67">
        <w:rPr>
          <w:rFonts w:ascii="Calibri" w:hAnsi="Calibri"/>
          <w:color w:val="002060"/>
          <w:sz w:val="20"/>
          <w:szCs w:val="20"/>
        </w:rPr>
        <w:t xml:space="preserve"> conseillé de les provisionner </w:t>
      </w:r>
      <w:r w:rsidRPr="000A233D">
        <w:rPr>
          <w:rFonts w:ascii="Calibri" w:hAnsi="Calibri"/>
          <w:color w:val="002060"/>
          <w:sz w:val="20"/>
          <w:szCs w:val="20"/>
        </w:rPr>
        <w:t>systématiquement chaque mois et d’en effectuer la déduction lors des départs en congés (par simplification l’essentiel de départs peu être prévu en juillet et août). Ceci ajoute une complexité aux prévisions, mais présente l’avantage de :</w:t>
      </w:r>
    </w:p>
    <w:p w:rsidR="00720D8A" w:rsidRPr="000A233D" w:rsidRDefault="00387A67" w:rsidP="00387A67">
      <w:pPr>
        <w:spacing w:after="3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CB61335" wp14:editId="700BD515">
            <wp:extent cx="114300" cy="95250"/>
            <wp:effectExtent l="0" t="0" r="0" b="0"/>
            <wp:docPr id="21" name="Image 2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Ne</w:t>
      </w:r>
      <w:r w:rsidR="00720D8A" w:rsidRPr="000A233D">
        <w:rPr>
          <w:rFonts w:ascii="Calibri" w:hAnsi="Calibri"/>
          <w:color w:val="002060"/>
          <w:sz w:val="20"/>
          <w:szCs w:val="20"/>
        </w:rPr>
        <w:t xml:space="preserve"> pas faire apparaître de distorsion entre le résultat prévisionnel et le résultat comptable qui lui tiendra compte de la variation de provision pour congés payés,</w:t>
      </w:r>
    </w:p>
    <w:p w:rsidR="00720D8A" w:rsidRPr="000A233D" w:rsidRDefault="00387A67" w:rsidP="00387A67">
      <w:pPr>
        <w:spacing w:after="3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CB61335" wp14:editId="700BD515">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D</w:t>
      </w:r>
      <w:r w:rsidR="00720D8A" w:rsidRPr="000A233D">
        <w:rPr>
          <w:rFonts w:ascii="Calibri" w:hAnsi="Calibri"/>
          <w:color w:val="002060"/>
          <w:sz w:val="20"/>
          <w:szCs w:val="20"/>
        </w:rPr>
        <w:t>’équilibrer les charge de personnel en ne faisant pas apparaître des pertes très lourdes lors des départs en congés d’été (chiffre d’affaires plus faible mais charges de personnel au même niveau que les autres mois) et  des résultats meilleurs pendant le reste de l’année.</w:t>
      </w:r>
    </w:p>
    <w:p w:rsidR="00720D8A" w:rsidRPr="000A233D" w:rsidRDefault="00387A67" w:rsidP="00387A67">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CB61335" wp14:editId="700BD515">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A233D">
        <w:rPr>
          <w:rFonts w:ascii="Calibri" w:hAnsi="Calibri"/>
          <w:color w:val="002060"/>
          <w:sz w:val="20"/>
          <w:szCs w:val="20"/>
        </w:rPr>
        <w:t>De</w:t>
      </w:r>
      <w:r w:rsidR="00720D8A" w:rsidRPr="000A233D">
        <w:rPr>
          <w:rFonts w:ascii="Calibri" w:hAnsi="Calibri"/>
          <w:color w:val="002060"/>
          <w:sz w:val="20"/>
          <w:szCs w:val="20"/>
        </w:rPr>
        <w:t xml:space="preserve"> tenir compte des variations d’effectifs ou de rémunérations qui impacte à la hausse ou à la baisse le coût des congés payés.</w:t>
      </w:r>
    </w:p>
    <w:p w:rsidR="00720D8A" w:rsidRPr="000A233D" w:rsidRDefault="00720D8A" w:rsidP="00387A67">
      <w:pPr>
        <w:spacing w:after="60"/>
        <w:jc w:val="both"/>
        <w:rPr>
          <w:rFonts w:ascii="Calibri" w:hAnsi="Calibri"/>
          <w:color w:val="002060"/>
          <w:sz w:val="20"/>
          <w:szCs w:val="20"/>
        </w:rPr>
      </w:pPr>
      <w:r w:rsidRPr="000A233D">
        <w:rPr>
          <w:rFonts w:ascii="Calibri" w:hAnsi="Calibri"/>
          <w:color w:val="002060"/>
          <w:sz w:val="20"/>
          <w:szCs w:val="20"/>
        </w:rPr>
        <w:t>Les charges sociales doivent être provisionnées en fonction du taux de l’entreprise. Il peut être fait particulièrement attention à des différences de taux très importants entre certains salariés (les contrats particuliers, les temps partiels, les « bas salaires »).</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Les charges fiscales basées sur les salaires (taxe apprentissage, participation à la formation continue, participation à l’effort construction) doivent être prévus en fonction de la masse salariale.</w:t>
      </w:r>
    </w:p>
    <w:p w:rsidR="00720D8A" w:rsidRPr="000A233D" w:rsidRDefault="00720D8A" w:rsidP="00B807E4">
      <w:pPr>
        <w:spacing w:after="60"/>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Si des évènements particuliers viennent modifier le budget de charges de personnel (par exemple le coût de licenciements) il est alors nécessaire de préciser quel en est l’impact car il s’agit alors de charges non récurrentes.</w:t>
      </w:r>
    </w:p>
    <w:p w:rsidR="002F3B9C" w:rsidRPr="000A233D" w:rsidRDefault="00720D8A" w:rsidP="0076533D">
      <w:pPr>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Les comptes en comptabilité rattachés au personnel se retrouvent en charges dans le compte de résultat (comptes 64 et certains comptes 63)</w:t>
      </w:r>
      <w:bookmarkStart w:id="16" w:name="_Toc529805665"/>
    </w:p>
    <w:p w:rsidR="00720D8A" w:rsidRPr="00040C66" w:rsidRDefault="00720D8A" w:rsidP="000473E6">
      <w:pPr>
        <w:pStyle w:val="Titre2"/>
        <w:spacing w:before="120"/>
        <w:rPr>
          <w:rFonts w:ascii="Calibri" w:hAnsi="Calibri"/>
          <w:color w:val="002060"/>
          <w:sz w:val="20"/>
          <w:szCs w:val="20"/>
        </w:rPr>
      </w:pPr>
      <w:r w:rsidRPr="00040C66">
        <w:rPr>
          <w:rFonts w:ascii="Calibri" w:hAnsi="Calibri"/>
          <w:color w:val="002060"/>
          <w:sz w:val="20"/>
          <w:szCs w:val="20"/>
        </w:rPr>
        <w:t>Impôts, taxes</w:t>
      </w:r>
      <w:bookmarkEnd w:id="16"/>
    </w:p>
    <w:p w:rsidR="00720D8A" w:rsidRPr="000A233D" w:rsidRDefault="00720D8A" w:rsidP="0076533D">
      <w:pPr>
        <w:spacing w:after="60"/>
        <w:jc w:val="both"/>
        <w:rPr>
          <w:rFonts w:ascii="Calibri" w:hAnsi="Calibri"/>
          <w:color w:val="002060"/>
          <w:sz w:val="20"/>
          <w:szCs w:val="20"/>
        </w:rPr>
      </w:pPr>
      <w:r w:rsidRPr="000A233D">
        <w:rPr>
          <w:rFonts w:ascii="Calibri" w:hAnsi="Calibri"/>
          <w:color w:val="002060"/>
          <w:sz w:val="20"/>
          <w:szCs w:val="20"/>
        </w:rPr>
        <w:t>Ces postes comportent la TVA et les autre impôts et taxes.</w:t>
      </w:r>
    </w:p>
    <w:p w:rsidR="00720D8A" w:rsidRPr="000A233D" w:rsidRDefault="00720D8A" w:rsidP="0076533D">
      <w:pPr>
        <w:spacing w:after="60"/>
        <w:jc w:val="both"/>
        <w:rPr>
          <w:rFonts w:ascii="Calibri" w:hAnsi="Calibri"/>
          <w:color w:val="002060"/>
          <w:sz w:val="20"/>
          <w:szCs w:val="20"/>
        </w:rPr>
      </w:pPr>
      <w:r w:rsidRPr="000A233D">
        <w:rPr>
          <w:rFonts w:ascii="Calibri" w:hAnsi="Calibri"/>
          <w:color w:val="002060"/>
          <w:sz w:val="20"/>
          <w:szCs w:val="20"/>
        </w:rPr>
        <w:t xml:space="preserve">Le budget de TVA doit être effectué de façon détaillée car son impact en trésorerie est rarement négligeable. Le budget de TVA doit à la fois prévoir précisément l’impact de  la TV Collectée à reverser : à la foi les montants </w:t>
      </w:r>
      <w:proofErr w:type="spellStart"/>
      <w:r w:rsidRPr="000A233D">
        <w:rPr>
          <w:rFonts w:ascii="Calibri" w:hAnsi="Calibri"/>
          <w:color w:val="002060"/>
          <w:sz w:val="20"/>
          <w:szCs w:val="20"/>
        </w:rPr>
        <w:t>d</w:t>
      </w:r>
      <w:r w:rsidR="00387A67">
        <w:rPr>
          <w:rFonts w:ascii="Calibri" w:hAnsi="Calibri"/>
          <w:color w:val="002060"/>
          <w:sz w:val="20"/>
          <w:szCs w:val="20"/>
        </w:rPr>
        <w:t>û</w:t>
      </w:r>
      <w:r w:rsidRPr="000A233D">
        <w:rPr>
          <w:rFonts w:ascii="Calibri" w:hAnsi="Calibri"/>
          <w:color w:val="002060"/>
          <w:sz w:val="20"/>
          <w:szCs w:val="20"/>
        </w:rPr>
        <w:t>s</w:t>
      </w:r>
      <w:proofErr w:type="spellEnd"/>
      <w:r w:rsidRPr="000A233D">
        <w:rPr>
          <w:rFonts w:ascii="Calibri" w:hAnsi="Calibri"/>
          <w:color w:val="002060"/>
          <w:sz w:val="20"/>
          <w:szCs w:val="20"/>
        </w:rPr>
        <w:t xml:space="preserve"> et les périodes d’exigibilités (TVA sur encaissements ou sur les débits). De même doit être intégré les montants de TVA récupérable.</w:t>
      </w:r>
    </w:p>
    <w:p w:rsidR="00720D8A" w:rsidRPr="000A233D" w:rsidRDefault="00720D8A" w:rsidP="0076533D">
      <w:pPr>
        <w:spacing w:after="60"/>
        <w:jc w:val="both"/>
        <w:rPr>
          <w:rFonts w:ascii="Calibri" w:hAnsi="Calibri"/>
          <w:color w:val="002060"/>
          <w:sz w:val="20"/>
          <w:szCs w:val="20"/>
        </w:rPr>
      </w:pPr>
      <w:r w:rsidRPr="000A233D">
        <w:rPr>
          <w:rFonts w:ascii="Calibri" w:hAnsi="Calibri"/>
          <w:color w:val="002060"/>
          <w:sz w:val="20"/>
          <w:szCs w:val="20"/>
        </w:rPr>
        <w:t>C’est donc ce budget de TVA, dépendant de l’ensemble des prévisions de ventes et d’achats</w:t>
      </w:r>
      <w:r w:rsidR="00EC21CB">
        <w:rPr>
          <w:rFonts w:ascii="Calibri" w:hAnsi="Calibri"/>
          <w:color w:val="002060"/>
          <w:sz w:val="20"/>
          <w:szCs w:val="20"/>
        </w:rPr>
        <w:t>,</w:t>
      </w:r>
      <w:r w:rsidRPr="000A233D">
        <w:rPr>
          <w:rFonts w:ascii="Calibri" w:hAnsi="Calibri"/>
          <w:color w:val="002060"/>
          <w:sz w:val="20"/>
          <w:szCs w:val="20"/>
        </w:rPr>
        <w:t xml:space="preserve"> qui va déterminer l’impact en trésorerie de la TVA.</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 xml:space="preserve">Concernant les autres taxes, la </w:t>
      </w:r>
      <w:r w:rsidR="000473E6">
        <w:rPr>
          <w:rFonts w:ascii="Calibri" w:hAnsi="Calibri"/>
          <w:color w:val="002060"/>
          <w:sz w:val="20"/>
          <w:szCs w:val="20"/>
        </w:rPr>
        <w:t>Contribution Economique Territoriale (CET)</w:t>
      </w:r>
      <w:r w:rsidRPr="000A233D">
        <w:rPr>
          <w:rFonts w:ascii="Calibri" w:hAnsi="Calibri"/>
          <w:color w:val="002060"/>
          <w:sz w:val="20"/>
          <w:szCs w:val="20"/>
        </w:rPr>
        <w:t xml:space="preserve"> et les autres droits et taxes sont à budgétiser à partir des derniers rôles d’imposition. </w:t>
      </w:r>
    </w:p>
    <w:p w:rsidR="00720D8A" w:rsidRPr="000A233D" w:rsidRDefault="00720D8A">
      <w:pPr>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Pour la</w:t>
      </w:r>
      <w:r w:rsidR="000473E6">
        <w:rPr>
          <w:rFonts w:ascii="Calibri" w:hAnsi="Calibri"/>
          <w:color w:val="002060"/>
          <w:sz w:val="20"/>
          <w:szCs w:val="20"/>
        </w:rPr>
        <w:t xml:space="preserve"> CET</w:t>
      </w:r>
      <w:r w:rsidRPr="000A233D">
        <w:rPr>
          <w:rFonts w:ascii="Calibri" w:hAnsi="Calibri"/>
          <w:color w:val="002060"/>
          <w:sz w:val="20"/>
          <w:szCs w:val="20"/>
        </w:rPr>
        <w:t>, tenir compte du plafonnement de la valeur ajoutée et dégrèvements.</w:t>
      </w:r>
    </w:p>
    <w:p w:rsidR="00720D8A" w:rsidRPr="00040C66" w:rsidRDefault="00720D8A" w:rsidP="0076533D">
      <w:pPr>
        <w:pStyle w:val="Titre2"/>
        <w:spacing w:before="120"/>
        <w:rPr>
          <w:rFonts w:ascii="Calibri" w:hAnsi="Calibri"/>
          <w:color w:val="002060"/>
          <w:sz w:val="20"/>
          <w:szCs w:val="20"/>
        </w:rPr>
      </w:pPr>
      <w:bookmarkStart w:id="17" w:name="_Toc529805666"/>
      <w:r w:rsidRPr="00040C66">
        <w:rPr>
          <w:rFonts w:ascii="Calibri" w:hAnsi="Calibri"/>
          <w:color w:val="002060"/>
          <w:sz w:val="20"/>
          <w:szCs w:val="20"/>
        </w:rPr>
        <w:t>Dotation aux amortissements et provisions</w:t>
      </w:r>
      <w:bookmarkEnd w:id="17"/>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Pour les dotations aux provisions, elles doivent être effectuées en fonction des différents postes du bilan. En cas de « provision pour impayés sur le chiffre d’affaires prévisionnel », il est souhaitable de le déduire également des entrées de trésorerie sur les ventes.</w:t>
      </w:r>
    </w:p>
    <w:p w:rsidR="00720D8A" w:rsidRPr="000A233D" w:rsidRDefault="00720D8A" w:rsidP="00EC21CB">
      <w:pPr>
        <w:jc w:val="both"/>
        <w:rPr>
          <w:rFonts w:ascii="Calibri" w:hAnsi="Calibri"/>
          <w:color w:val="002060"/>
          <w:sz w:val="20"/>
          <w:szCs w:val="20"/>
        </w:rPr>
      </w:pPr>
      <w:r w:rsidRPr="000A233D">
        <w:rPr>
          <w:rFonts w:ascii="Calibri" w:hAnsi="Calibri"/>
          <w:color w:val="002060"/>
          <w:sz w:val="20"/>
          <w:szCs w:val="20"/>
        </w:rPr>
        <w:t>Pour les dotations aux amortissements, il est conseillé de distinguer les dotations aux amortissements sur les immobilisations existantes à la date des prévisions et les nouvelles dotations aux amortissements sur les investissements. Il sera ainsi plus facile de gérer la fin des amortissements des immobilisations existantes et l’impact des nouveaux investissements.</w:t>
      </w:r>
    </w:p>
    <w:p w:rsidR="00720D8A" w:rsidRPr="00040C66" w:rsidRDefault="00720D8A" w:rsidP="00040C66">
      <w:pPr>
        <w:pStyle w:val="Titre1"/>
        <w:spacing w:before="120"/>
        <w:jc w:val="both"/>
        <w:rPr>
          <w:rFonts w:ascii="Calibri" w:hAnsi="Calibri"/>
          <w:color w:val="002060"/>
          <w:sz w:val="21"/>
          <w:szCs w:val="21"/>
        </w:rPr>
      </w:pPr>
      <w:bookmarkStart w:id="18" w:name="_Toc529805667"/>
      <w:r w:rsidRPr="00040C66">
        <w:rPr>
          <w:rFonts w:ascii="Calibri" w:hAnsi="Calibri"/>
          <w:color w:val="002060"/>
          <w:sz w:val="21"/>
          <w:szCs w:val="21"/>
        </w:rPr>
        <w:t>3. PREVISIONS DE TRESORERIE</w:t>
      </w:r>
      <w:bookmarkEnd w:id="18"/>
    </w:p>
    <w:p w:rsidR="00720D8A" w:rsidRPr="00040C66" w:rsidRDefault="00720D8A" w:rsidP="00EC21CB">
      <w:pPr>
        <w:pStyle w:val="Titre2"/>
        <w:spacing w:before="0"/>
        <w:jc w:val="both"/>
        <w:rPr>
          <w:rFonts w:ascii="Calibri" w:hAnsi="Calibri"/>
          <w:color w:val="002060"/>
          <w:sz w:val="20"/>
          <w:szCs w:val="21"/>
        </w:rPr>
      </w:pPr>
      <w:bookmarkStart w:id="19" w:name="_Toc529805668"/>
      <w:r w:rsidRPr="00040C66">
        <w:rPr>
          <w:rFonts w:ascii="Calibri" w:hAnsi="Calibri"/>
          <w:color w:val="002060"/>
          <w:sz w:val="20"/>
          <w:szCs w:val="21"/>
        </w:rPr>
        <w:t>Trésorerie et actifs initiaux</w:t>
      </w:r>
      <w:bookmarkEnd w:id="19"/>
    </w:p>
    <w:p w:rsidR="00EC21CB" w:rsidRDefault="00720D8A" w:rsidP="00EC21CB">
      <w:pPr>
        <w:spacing w:after="30"/>
        <w:jc w:val="both"/>
        <w:rPr>
          <w:rFonts w:ascii="Calibri" w:hAnsi="Calibri"/>
          <w:color w:val="002060"/>
          <w:sz w:val="20"/>
          <w:szCs w:val="20"/>
        </w:rPr>
      </w:pPr>
      <w:r w:rsidRPr="000A233D">
        <w:rPr>
          <w:rFonts w:ascii="Calibri" w:hAnsi="Calibri"/>
          <w:color w:val="002060"/>
          <w:sz w:val="20"/>
          <w:szCs w:val="20"/>
        </w:rPr>
        <w:t xml:space="preserve">La trésorerie initiale à la date des prévisions doit être retenue de façon cohérente avec les autres postes d’actifs et de dettes : </w:t>
      </w:r>
    </w:p>
    <w:p w:rsidR="00EC21CB" w:rsidRPr="00EC21CB" w:rsidRDefault="00EC21CB" w:rsidP="00EC21CB">
      <w:pPr>
        <w:spacing w:after="3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8FD9828" wp14:editId="43C318B0">
            <wp:extent cx="114300" cy="95250"/>
            <wp:effectExtent l="0" t="0" r="0" b="0"/>
            <wp:docPr id="25" name="Image 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C21CB">
        <w:rPr>
          <w:rFonts w:ascii="Calibri" w:hAnsi="Calibri"/>
          <w:color w:val="002060"/>
          <w:sz w:val="20"/>
          <w:szCs w:val="20"/>
        </w:rPr>
        <w:t>P</w:t>
      </w:r>
      <w:r w:rsidR="00720D8A" w:rsidRPr="00EC21CB">
        <w:rPr>
          <w:rFonts w:ascii="Calibri" w:hAnsi="Calibri"/>
          <w:color w:val="002060"/>
          <w:sz w:val="20"/>
          <w:szCs w:val="20"/>
        </w:rPr>
        <w:t xml:space="preserve">ar exemple repartir entièrement des données comptables (soldes de trésorerie après rapprochements bancaires, poste client comptable et dettes fournisseur comptables) </w:t>
      </w:r>
    </w:p>
    <w:p w:rsidR="00720D8A" w:rsidRPr="00EC21CB" w:rsidRDefault="00EC21CB" w:rsidP="00EC21CB">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8FD9828" wp14:editId="43C318B0">
            <wp:extent cx="114300" cy="95250"/>
            <wp:effectExtent l="0" t="0" r="0" b="0"/>
            <wp:docPr id="26" name="Image 2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C21CB">
        <w:rPr>
          <w:rFonts w:ascii="Calibri" w:hAnsi="Calibri"/>
          <w:color w:val="002060"/>
          <w:sz w:val="20"/>
          <w:szCs w:val="20"/>
        </w:rPr>
        <w:t>Ou</w:t>
      </w:r>
      <w:r w:rsidR="00720D8A" w:rsidRPr="00EC21CB">
        <w:rPr>
          <w:rFonts w:ascii="Calibri" w:hAnsi="Calibri"/>
          <w:color w:val="002060"/>
          <w:sz w:val="20"/>
          <w:szCs w:val="20"/>
        </w:rPr>
        <w:t xml:space="preserve"> repartir des données de gestion extracomptables de trésorerie, créances et dettes dans la mesure où ces données sont cohérentes entre elles.</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 xml:space="preserve">Il est essentiel que les « compteurs de départ » en </w:t>
      </w:r>
      <w:r w:rsidR="000473E6" w:rsidRPr="000A233D">
        <w:rPr>
          <w:rFonts w:ascii="Calibri" w:hAnsi="Calibri"/>
          <w:color w:val="002060"/>
          <w:sz w:val="20"/>
          <w:szCs w:val="20"/>
        </w:rPr>
        <w:t>termes</w:t>
      </w:r>
      <w:r w:rsidRPr="000A233D">
        <w:rPr>
          <w:rFonts w:ascii="Calibri" w:hAnsi="Calibri"/>
          <w:color w:val="002060"/>
          <w:sz w:val="20"/>
          <w:szCs w:val="20"/>
        </w:rPr>
        <w:t xml:space="preserve"> de trésorerie et créances et dettes proviennent de mêmes sources fiables et cohérentes entre elles.</w:t>
      </w:r>
    </w:p>
    <w:p w:rsidR="00EC21CB" w:rsidRDefault="00720D8A" w:rsidP="003318EE">
      <w:pPr>
        <w:spacing w:after="30"/>
        <w:jc w:val="both"/>
        <w:rPr>
          <w:rFonts w:ascii="Calibri" w:hAnsi="Calibri"/>
          <w:color w:val="002060"/>
          <w:sz w:val="20"/>
          <w:szCs w:val="20"/>
        </w:rPr>
      </w:pPr>
      <w:r w:rsidRPr="000A233D">
        <w:rPr>
          <w:rFonts w:ascii="Calibri" w:hAnsi="Calibri"/>
          <w:color w:val="002060"/>
          <w:sz w:val="20"/>
          <w:szCs w:val="20"/>
        </w:rPr>
        <w:lastRenderedPageBreak/>
        <w:t xml:space="preserve">Il est également essentiel afin de ne pas se masquer la situation réelle de trésorerie et les besoins de financement, ce qu’un banquier ou financier ne manqueront pas de regarder, de repartir de soldes avant mobilisation de créances. </w:t>
      </w:r>
    </w:p>
    <w:p w:rsidR="00EC21CB" w:rsidRPr="00EC21CB" w:rsidRDefault="003318EE" w:rsidP="00EC21CB">
      <w:pPr>
        <w:pStyle w:val="Paragraphedeliste"/>
        <w:spacing w:after="30"/>
        <w:ind w:left="0"/>
        <w:contextualSpacing w:val="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7B2294E" wp14:editId="18E76A4F">
            <wp:extent cx="114300" cy="95250"/>
            <wp:effectExtent l="0" t="0" r="0" b="0"/>
            <wp:docPr id="28" name="Image 2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20D8A" w:rsidRPr="00EC21CB">
        <w:rPr>
          <w:rFonts w:ascii="Calibri" w:hAnsi="Calibri"/>
          <w:color w:val="002060"/>
          <w:sz w:val="20"/>
          <w:szCs w:val="20"/>
        </w:rPr>
        <w:t xml:space="preserve">Ainsi, retenir le solde de trésorerie négatif après déduction des encours de financement Dailly, escompte ou factor. </w:t>
      </w:r>
    </w:p>
    <w:p w:rsidR="00EC21CB" w:rsidRDefault="003318EE" w:rsidP="003318EE">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7B2294E" wp14:editId="18E76A4F">
            <wp:extent cx="114300" cy="95250"/>
            <wp:effectExtent l="0" t="0" r="0" b="0"/>
            <wp:docPr id="29" name="Image 2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20D8A" w:rsidRPr="00EC21CB">
        <w:rPr>
          <w:rFonts w:ascii="Calibri" w:hAnsi="Calibri"/>
          <w:color w:val="002060"/>
          <w:sz w:val="20"/>
          <w:szCs w:val="20"/>
        </w:rPr>
        <w:t xml:space="preserve">Repositionner les financements escompte Dailly ou factor parmi les créances client. </w:t>
      </w:r>
    </w:p>
    <w:p w:rsidR="003318EE" w:rsidRDefault="00720D8A" w:rsidP="003318EE">
      <w:pPr>
        <w:spacing w:after="30"/>
        <w:jc w:val="both"/>
        <w:rPr>
          <w:rFonts w:ascii="Calibri" w:hAnsi="Calibri"/>
          <w:color w:val="002060"/>
          <w:sz w:val="20"/>
          <w:szCs w:val="20"/>
        </w:rPr>
      </w:pPr>
      <w:r w:rsidRPr="00EC21CB">
        <w:rPr>
          <w:rFonts w:ascii="Calibri" w:hAnsi="Calibri"/>
          <w:color w:val="002060"/>
          <w:sz w:val="20"/>
          <w:szCs w:val="20"/>
        </w:rPr>
        <w:t xml:space="preserve">Ceci vous donnera deux informations essentielles : </w:t>
      </w:r>
    </w:p>
    <w:p w:rsidR="003318EE" w:rsidRDefault="00720D8A"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 xml:space="preserve">votre véritable délai de  paiement des clients, </w:t>
      </w:r>
    </w:p>
    <w:p w:rsidR="003318EE" w:rsidRDefault="00720D8A"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 xml:space="preserve">et le véritable besoin de financement de « bas de bilan ». </w:t>
      </w:r>
    </w:p>
    <w:p w:rsidR="00720D8A" w:rsidRPr="003318EE" w:rsidRDefault="00720D8A" w:rsidP="003318EE">
      <w:pPr>
        <w:pStyle w:val="Paragraphedeliste"/>
        <w:spacing w:after="60"/>
        <w:ind w:left="170"/>
        <w:contextualSpacing w:val="0"/>
        <w:jc w:val="both"/>
        <w:rPr>
          <w:rFonts w:ascii="Calibri" w:hAnsi="Calibri"/>
          <w:color w:val="002060"/>
          <w:sz w:val="20"/>
          <w:szCs w:val="20"/>
        </w:rPr>
      </w:pPr>
      <w:r w:rsidRPr="003318EE">
        <w:rPr>
          <w:rFonts w:ascii="Calibri" w:hAnsi="Calibri"/>
          <w:color w:val="002060"/>
          <w:sz w:val="20"/>
          <w:szCs w:val="20"/>
        </w:rPr>
        <w:t>Ce besoin de financement de « bas de bilan » est fortement apprécié des financiers, banquiers et certains investisseurs car elle traduit une marge de sécurité financière de l’entreprise pour subir quelques aléas économiques imprévisibles.</w:t>
      </w:r>
    </w:p>
    <w:p w:rsidR="003318EE" w:rsidRDefault="00720D8A" w:rsidP="000473E6">
      <w:pPr>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Il est conseillé fortement de distinguer l’encaissement des créances existantes à la date de début des prévisions (le poste client) des créances qui seront générées à partir de la date de début des prévisions. </w:t>
      </w:r>
    </w:p>
    <w:p w:rsidR="00720D8A" w:rsidRPr="000A233D" w:rsidRDefault="00720D8A" w:rsidP="003318EE">
      <w:pPr>
        <w:ind w:left="227"/>
        <w:jc w:val="both"/>
        <w:rPr>
          <w:rFonts w:ascii="Calibri" w:hAnsi="Calibri"/>
          <w:color w:val="002060"/>
          <w:sz w:val="20"/>
          <w:szCs w:val="20"/>
        </w:rPr>
      </w:pPr>
      <w:r w:rsidRPr="000A233D">
        <w:rPr>
          <w:rFonts w:ascii="Calibri" w:hAnsi="Calibri"/>
          <w:color w:val="002060"/>
          <w:sz w:val="20"/>
          <w:szCs w:val="20"/>
        </w:rPr>
        <w:t>Ceci permet encore une fois de valider et contrôler le délai réel de paiement des créances client.</w:t>
      </w:r>
    </w:p>
    <w:p w:rsidR="00720D8A" w:rsidRPr="00040C66" w:rsidRDefault="00720D8A" w:rsidP="000473E6">
      <w:pPr>
        <w:pStyle w:val="Titre2"/>
        <w:spacing w:before="120"/>
        <w:jc w:val="both"/>
        <w:rPr>
          <w:rFonts w:ascii="Calibri" w:hAnsi="Calibri"/>
          <w:color w:val="002060"/>
          <w:sz w:val="20"/>
          <w:szCs w:val="20"/>
        </w:rPr>
      </w:pPr>
      <w:bookmarkStart w:id="20" w:name="_Toc529805669"/>
      <w:r w:rsidRPr="00040C66">
        <w:rPr>
          <w:rFonts w:ascii="Calibri" w:hAnsi="Calibri"/>
          <w:color w:val="002060"/>
          <w:sz w:val="20"/>
          <w:szCs w:val="20"/>
        </w:rPr>
        <w:t>Encaissements</w:t>
      </w:r>
      <w:bookmarkEnd w:id="20"/>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Dans la mesure du possible, reprendre l’encaissement des créances client existant à la date de début des prévisions en fonction de l’échéancier normal. Par précaution si vos clients paient en retard par rapport aux échéances, ne soyez pas optimistes et ajoutez des délais supplémentaires pour retenir des délais réels de recouvrement et non les délais théoriques.</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Prévoyez des délais de recouvrement différents entre vos différentes natures de clients ou d’activité.</w:t>
      </w:r>
    </w:p>
    <w:p w:rsidR="00CD6225" w:rsidRPr="000A233D" w:rsidRDefault="00720D8A" w:rsidP="000473E6">
      <w:pPr>
        <w:ind w:left="227" w:hanging="227"/>
        <w:jc w:val="both"/>
        <w:rPr>
          <w:rFonts w:ascii="Calibri" w:hAnsi="Calibri"/>
          <w:color w:val="002060"/>
          <w:sz w:val="20"/>
          <w:szCs w:val="20"/>
        </w:rPr>
      </w:pPr>
      <w:r w:rsidRPr="000A233D">
        <w:rPr>
          <w:rFonts w:ascii="Calibri" w:hAnsi="Calibri"/>
          <w:color w:val="002060"/>
          <w:sz w:val="20"/>
          <w:szCs w:val="20"/>
        </w:rPr>
        <w:sym w:font="Wingdings" w:char="F046"/>
      </w:r>
      <w:r w:rsidRPr="000A233D">
        <w:rPr>
          <w:rFonts w:ascii="Calibri" w:hAnsi="Calibri"/>
          <w:color w:val="002060"/>
          <w:sz w:val="20"/>
          <w:szCs w:val="20"/>
        </w:rPr>
        <w:t xml:space="preserve"> Par précaution, soyez très conservateurs dans le recouvrement des créances douteuses ou litigieuses, et le cas échéant, faites abstraction de ces sommes en expliquant les raisons de votre choix.</w:t>
      </w:r>
    </w:p>
    <w:p w:rsidR="00720D8A" w:rsidRPr="00040C66" w:rsidRDefault="00720D8A" w:rsidP="000473E6">
      <w:pPr>
        <w:pStyle w:val="Titre2"/>
        <w:spacing w:before="120"/>
        <w:jc w:val="both"/>
        <w:rPr>
          <w:rFonts w:ascii="Calibri" w:hAnsi="Calibri"/>
          <w:color w:val="002060"/>
          <w:sz w:val="20"/>
          <w:szCs w:val="20"/>
        </w:rPr>
      </w:pPr>
      <w:bookmarkStart w:id="21" w:name="_Toc529805670"/>
      <w:r w:rsidRPr="00040C66">
        <w:rPr>
          <w:rFonts w:ascii="Calibri" w:hAnsi="Calibri"/>
          <w:color w:val="002060"/>
          <w:sz w:val="20"/>
          <w:szCs w:val="20"/>
        </w:rPr>
        <w:t>Décaissements</w:t>
      </w:r>
      <w:bookmarkEnd w:id="21"/>
    </w:p>
    <w:p w:rsidR="00720D8A" w:rsidRPr="000A233D" w:rsidRDefault="00720D8A" w:rsidP="003318EE">
      <w:pPr>
        <w:spacing w:after="60"/>
        <w:jc w:val="both"/>
        <w:rPr>
          <w:rFonts w:ascii="Calibri" w:hAnsi="Calibri"/>
          <w:color w:val="002060"/>
          <w:sz w:val="20"/>
          <w:szCs w:val="20"/>
        </w:rPr>
      </w:pPr>
      <w:r w:rsidRPr="000A233D">
        <w:rPr>
          <w:rFonts w:ascii="Calibri" w:hAnsi="Calibri"/>
          <w:color w:val="002060"/>
          <w:sz w:val="20"/>
          <w:szCs w:val="20"/>
        </w:rPr>
        <w:t xml:space="preserve">D’une façon générale, prévoir les décaissements en fonction de la périodicité, des échéances et du terme propre à chaque dépense ou des délais octroyés par les fournisseurs. </w:t>
      </w:r>
    </w:p>
    <w:p w:rsidR="00720D8A" w:rsidRPr="000A233D" w:rsidRDefault="00720D8A" w:rsidP="000A233D">
      <w:pPr>
        <w:spacing w:after="120"/>
        <w:jc w:val="both"/>
        <w:rPr>
          <w:rFonts w:ascii="Calibri" w:hAnsi="Calibri"/>
          <w:color w:val="002060"/>
          <w:sz w:val="20"/>
          <w:szCs w:val="20"/>
        </w:rPr>
      </w:pPr>
      <w:r w:rsidRPr="000A233D">
        <w:rPr>
          <w:rFonts w:ascii="Calibri" w:hAnsi="Calibri"/>
          <w:color w:val="002060"/>
          <w:sz w:val="20"/>
          <w:szCs w:val="20"/>
        </w:rPr>
        <w:t>En l'absence de délais concernant l'échéance des charges, prévoir les décaissements le mois même.</w:t>
      </w:r>
    </w:p>
    <w:p w:rsidR="00720D8A" w:rsidRPr="00040C66" w:rsidRDefault="00720D8A" w:rsidP="000473E6">
      <w:pPr>
        <w:pStyle w:val="Titre2"/>
        <w:spacing w:before="120"/>
        <w:jc w:val="both"/>
        <w:rPr>
          <w:rFonts w:ascii="Calibri" w:hAnsi="Calibri"/>
          <w:color w:val="002060"/>
          <w:sz w:val="20"/>
          <w:szCs w:val="20"/>
        </w:rPr>
      </w:pPr>
      <w:bookmarkStart w:id="22" w:name="_Toc529805671"/>
      <w:r w:rsidRPr="00040C66">
        <w:rPr>
          <w:rFonts w:ascii="Calibri" w:hAnsi="Calibri"/>
          <w:color w:val="002060"/>
          <w:sz w:val="20"/>
          <w:szCs w:val="20"/>
        </w:rPr>
        <w:t>Financements</w:t>
      </w:r>
      <w:bookmarkEnd w:id="22"/>
    </w:p>
    <w:p w:rsidR="00720D8A" w:rsidRPr="000A233D" w:rsidRDefault="00720D8A" w:rsidP="003318EE">
      <w:pPr>
        <w:spacing w:after="30"/>
        <w:jc w:val="both"/>
        <w:rPr>
          <w:rFonts w:ascii="Calibri" w:hAnsi="Calibri"/>
          <w:color w:val="002060"/>
          <w:sz w:val="20"/>
          <w:szCs w:val="20"/>
        </w:rPr>
      </w:pPr>
      <w:r w:rsidRPr="000A233D">
        <w:rPr>
          <w:rFonts w:ascii="Calibri" w:hAnsi="Calibri"/>
          <w:color w:val="002060"/>
          <w:sz w:val="20"/>
          <w:szCs w:val="20"/>
        </w:rPr>
        <w:t>Il doit être précisé comment s’effectue le financement de l’activité avec les conditions pour chaque nature de haut ou de bas de bilan :</w:t>
      </w:r>
    </w:p>
    <w:p w:rsidR="00720D8A" w:rsidRPr="003318EE" w:rsidRDefault="003318EE"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Capital</w:t>
      </w:r>
      <w:r w:rsidR="00720D8A" w:rsidRPr="003318EE">
        <w:rPr>
          <w:rFonts w:ascii="Calibri" w:hAnsi="Calibri"/>
          <w:color w:val="002060"/>
          <w:sz w:val="20"/>
          <w:szCs w:val="20"/>
        </w:rPr>
        <w:t> : montant des apports en capital, origine, délais et engagement déjà obtenus</w:t>
      </w:r>
    </w:p>
    <w:p w:rsidR="00720D8A" w:rsidRPr="003318EE" w:rsidRDefault="003318EE"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Apports</w:t>
      </w:r>
      <w:r w:rsidR="00720D8A" w:rsidRPr="003318EE">
        <w:rPr>
          <w:rFonts w:ascii="Calibri" w:hAnsi="Calibri"/>
          <w:color w:val="002060"/>
          <w:sz w:val="20"/>
          <w:szCs w:val="20"/>
        </w:rPr>
        <w:t xml:space="preserve"> en compte courant des associés : montant, répartition, durées, comptes bloqués ou non,</w:t>
      </w:r>
    </w:p>
    <w:p w:rsidR="00720D8A" w:rsidRPr="003318EE" w:rsidRDefault="003318EE"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Autres</w:t>
      </w:r>
      <w:r w:rsidR="00720D8A" w:rsidRPr="003318EE">
        <w:rPr>
          <w:rFonts w:ascii="Calibri" w:hAnsi="Calibri"/>
          <w:color w:val="002060"/>
          <w:sz w:val="20"/>
          <w:szCs w:val="20"/>
        </w:rPr>
        <w:t xml:space="preserve"> opérations de haut de bilan plus sophistiqué en détail</w:t>
      </w:r>
    </w:p>
    <w:p w:rsidR="003318EE" w:rsidRDefault="003318EE" w:rsidP="003318EE">
      <w:pPr>
        <w:pStyle w:val="Paragraphedeliste"/>
        <w:numPr>
          <w:ilvl w:val="3"/>
          <w:numId w:val="1"/>
        </w:numPr>
        <w:spacing w:after="30"/>
        <w:ind w:left="170" w:hanging="170"/>
        <w:contextualSpacing w:val="0"/>
        <w:jc w:val="both"/>
        <w:rPr>
          <w:rFonts w:ascii="Calibri" w:hAnsi="Calibri"/>
          <w:color w:val="002060"/>
          <w:sz w:val="20"/>
          <w:szCs w:val="20"/>
        </w:rPr>
      </w:pPr>
      <w:r w:rsidRPr="003318EE">
        <w:rPr>
          <w:rFonts w:ascii="Calibri" w:hAnsi="Calibri"/>
          <w:color w:val="002060"/>
          <w:sz w:val="20"/>
          <w:szCs w:val="20"/>
        </w:rPr>
        <w:t>Prêts</w:t>
      </w:r>
      <w:r w:rsidR="00254479" w:rsidRPr="003318EE">
        <w:rPr>
          <w:rFonts w:ascii="Calibri" w:hAnsi="Calibri"/>
          <w:color w:val="002060"/>
          <w:sz w:val="20"/>
          <w:szCs w:val="20"/>
        </w:rPr>
        <w:t xml:space="preserve"> à </w:t>
      </w:r>
      <w:r w:rsidR="00720D8A" w:rsidRPr="003318EE">
        <w:rPr>
          <w:rFonts w:ascii="Calibri" w:hAnsi="Calibri"/>
          <w:color w:val="002060"/>
          <w:sz w:val="20"/>
          <w:szCs w:val="20"/>
        </w:rPr>
        <w:t xml:space="preserve">moyen et long terme en détaillant par nature, par financeur si déjà connu et en taux, </w:t>
      </w:r>
    </w:p>
    <w:p w:rsidR="00720D8A" w:rsidRPr="003318EE" w:rsidRDefault="003318EE" w:rsidP="003318EE">
      <w:pPr>
        <w:pStyle w:val="Paragraphedeliste"/>
        <w:numPr>
          <w:ilvl w:val="3"/>
          <w:numId w:val="1"/>
        </w:numPr>
        <w:spacing w:after="60"/>
        <w:ind w:left="170" w:hanging="170"/>
        <w:jc w:val="both"/>
        <w:rPr>
          <w:rFonts w:ascii="Calibri" w:hAnsi="Calibri"/>
          <w:color w:val="002060"/>
          <w:sz w:val="20"/>
          <w:szCs w:val="20"/>
        </w:rPr>
      </w:pPr>
      <w:r w:rsidRPr="003318EE">
        <w:rPr>
          <w:rFonts w:ascii="Calibri" w:hAnsi="Calibri"/>
          <w:color w:val="002060"/>
          <w:sz w:val="20"/>
          <w:szCs w:val="20"/>
        </w:rPr>
        <w:t>Financements</w:t>
      </w:r>
      <w:r w:rsidR="00720D8A" w:rsidRPr="003318EE">
        <w:rPr>
          <w:rFonts w:ascii="Calibri" w:hAnsi="Calibri"/>
          <w:color w:val="002060"/>
          <w:sz w:val="20"/>
          <w:szCs w:val="20"/>
        </w:rPr>
        <w:t xml:space="preserve"> court terme selon le mode (découvert, escompte, Dailly, Factor) avec les conditions qui y sont attachées (taux de retenues de garantie, plafonds, taux d’intérêt, ..)</w:t>
      </w:r>
    </w:p>
    <w:p w:rsidR="00720D8A" w:rsidRPr="00040C66" w:rsidRDefault="00720D8A" w:rsidP="00040C66">
      <w:pPr>
        <w:pStyle w:val="Titre1"/>
        <w:spacing w:before="120"/>
        <w:jc w:val="both"/>
        <w:rPr>
          <w:rFonts w:ascii="Calibri" w:hAnsi="Calibri"/>
          <w:color w:val="002060"/>
          <w:sz w:val="21"/>
          <w:szCs w:val="21"/>
        </w:rPr>
      </w:pPr>
      <w:bookmarkStart w:id="23" w:name="_Toc529805672"/>
      <w:r w:rsidRPr="00040C66">
        <w:rPr>
          <w:rFonts w:ascii="Calibri" w:hAnsi="Calibri"/>
          <w:color w:val="002060"/>
          <w:sz w:val="21"/>
          <w:szCs w:val="21"/>
        </w:rPr>
        <w:t>4. SYNTHESE</w:t>
      </w:r>
      <w:bookmarkEnd w:id="23"/>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La synthèse doit reprendre les principaux points de chaque partie, et en particulier de la présentation du projet ou les raisons qui motivent l’établissement du business plan s’il s’agit de demande de financement pour restructuration.</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 xml:space="preserve">Doivent être présentés ici les tableaux de synthèse de résultat détaillés sur 12 mois et également des comptes de résultat annuels sur 3 </w:t>
      </w:r>
      <w:r w:rsidR="003318EE">
        <w:rPr>
          <w:rFonts w:ascii="Calibri" w:hAnsi="Calibri"/>
          <w:color w:val="002060"/>
          <w:sz w:val="20"/>
          <w:szCs w:val="20"/>
        </w:rPr>
        <w:t>ans</w:t>
      </w:r>
      <w:r w:rsidRPr="000A233D">
        <w:rPr>
          <w:rFonts w:ascii="Calibri" w:hAnsi="Calibri"/>
          <w:color w:val="002060"/>
          <w:sz w:val="20"/>
          <w:szCs w:val="20"/>
        </w:rPr>
        <w:t xml:space="preserve"> minimum (une durée plus longue est souvent irréaliste ou elle est basée sur des éléments statistiques de progression des ventes et des charges).</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Un commentaire doit reprendre les principales hypothèses d’établissement de ces prévisions d’exploitation et de budget, ainsi qu’un commentaire sur les niveaux d’activité et de résultat atteints et leurs évolutions.</w:t>
      </w:r>
    </w:p>
    <w:p w:rsidR="00720D8A" w:rsidRPr="000A233D" w:rsidRDefault="00720D8A" w:rsidP="00B807E4">
      <w:pPr>
        <w:spacing w:after="60"/>
        <w:jc w:val="both"/>
        <w:rPr>
          <w:rFonts w:ascii="Calibri" w:hAnsi="Calibri"/>
          <w:color w:val="002060"/>
          <w:sz w:val="20"/>
          <w:szCs w:val="20"/>
        </w:rPr>
      </w:pPr>
      <w:r w:rsidRPr="000A233D">
        <w:rPr>
          <w:rFonts w:ascii="Calibri" w:hAnsi="Calibri"/>
          <w:color w:val="002060"/>
          <w:sz w:val="20"/>
          <w:szCs w:val="20"/>
        </w:rPr>
        <w:t>Il doit également être inséré les tableaux de prévision de trésorerie et indiquer comment ces prévisions seront réalisées, quelles sont les principales hypothèses de financement ou d’investissement s’ils sont significatifs.</w:t>
      </w:r>
    </w:p>
    <w:p w:rsidR="00CD6225" w:rsidRDefault="00720D8A">
      <w:pPr>
        <w:jc w:val="both"/>
        <w:rPr>
          <w:rFonts w:ascii="Calibri" w:hAnsi="Calibri"/>
          <w:color w:val="002060"/>
          <w:sz w:val="20"/>
          <w:szCs w:val="20"/>
        </w:rPr>
      </w:pPr>
      <w:r w:rsidRPr="000A233D">
        <w:rPr>
          <w:rFonts w:ascii="Calibri" w:hAnsi="Calibri"/>
          <w:color w:val="002060"/>
          <w:sz w:val="20"/>
          <w:szCs w:val="20"/>
        </w:rPr>
        <w:t>Cette partie doit être rédigée avec une attention toute particulière car elle restera la  partie de référence pour le lecteur qui cherchera une présentation rapide à effectuer à un collègue ou à un comité. Elle est également le moyen pour certains d’effectuer un premier tri sur les dossiers qu’ils vont étudier ou non en fonction de leur première impression de la cohérence globale du projet et du caractère réaliste ou non des résultats et trésorerie qui sont présentés.</w:t>
      </w:r>
    </w:p>
    <w:p w:rsidR="004A0294" w:rsidRPr="00040C66" w:rsidRDefault="00720D8A" w:rsidP="00040C66">
      <w:pPr>
        <w:pStyle w:val="Titre1"/>
        <w:spacing w:before="120"/>
        <w:jc w:val="both"/>
        <w:rPr>
          <w:rFonts w:ascii="Calibri" w:hAnsi="Calibri"/>
          <w:color w:val="002060"/>
          <w:sz w:val="21"/>
          <w:szCs w:val="21"/>
        </w:rPr>
      </w:pPr>
      <w:bookmarkStart w:id="24" w:name="_Toc529805673"/>
      <w:r w:rsidRPr="00040C66">
        <w:rPr>
          <w:rFonts w:ascii="Calibri" w:hAnsi="Calibri"/>
          <w:color w:val="002060"/>
          <w:sz w:val="21"/>
          <w:szCs w:val="21"/>
        </w:rPr>
        <w:t>5. ANNEXES</w:t>
      </w:r>
      <w:bookmarkEnd w:id="24"/>
    </w:p>
    <w:p w:rsidR="00720D8A" w:rsidRPr="000A233D" w:rsidRDefault="00720D8A" w:rsidP="00E34AD9">
      <w:pPr>
        <w:spacing w:after="30"/>
        <w:jc w:val="both"/>
        <w:rPr>
          <w:rFonts w:ascii="Calibri" w:hAnsi="Calibri"/>
          <w:color w:val="002060"/>
          <w:sz w:val="20"/>
          <w:szCs w:val="20"/>
        </w:rPr>
      </w:pPr>
      <w:r w:rsidRPr="000A233D">
        <w:rPr>
          <w:rFonts w:ascii="Calibri" w:hAnsi="Calibri"/>
          <w:color w:val="002060"/>
          <w:sz w:val="20"/>
          <w:szCs w:val="20"/>
        </w:rPr>
        <w:t xml:space="preserve">La partie des annexes doit être plus ou moins détaillée en fonction du projet (création, restructuration, demande de financement </w:t>
      </w:r>
      <w:r w:rsidR="00040C66">
        <w:rPr>
          <w:rFonts w:ascii="Calibri" w:hAnsi="Calibri"/>
          <w:color w:val="002060"/>
          <w:sz w:val="20"/>
          <w:szCs w:val="20"/>
        </w:rPr>
        <w:t>complémentaire …</w:t>
      </w:r>
      <w:r w:rsidRPr="000A233D">
        <w:rPr>
          <w:rFonts w:ascii="Calibri" w:hAnsi="Calibri"/>
          <w:color w:val="002060"/>
          <w:sz w:val="20"/>
          <w:szCs w:val="20"/>
        </w:rPr>
        <w:t xml:space="preserve">). Selon les cas, elle peut comporter : </w:t>
      </w:r>
    </w:p>
    <w:p w:rsidR="00720D8A" w:rsidRPr="000A233D" w:rsidRDefault="00720D8A" w:rsidP="00E34AD9">
      <w:pPr>
        <w:numPr>
          <w:ilvl w:val="0"/>
          <w:numId w:val="1"/>
        </w:numPr>
        <w:spacing w:after="30"/>
        <w:ind w:left="283" w:hanging="170"/>
        <w:jc w:val="both"/>
        <w:rPr>
          <w:rFonts w:ascii="Calibri" w:hAnsi="Calibri"/>
          <w:color w:val="002060"/>
          <w:sz w:val="20"/>
          <w:szCs w:val="20"/>
        </w:rPr>
      </w:pPr>
      <w:r w:rsidRPr="000A233D">
        <w:rPr>
          <w:rFonts w:ascii="Calibri" w:hAnsi="Calibri"/>
          <w:color w:val="002060"/>
          <w:sz w:val="20"/>
          <w:szCs w:val="20"/>
        </w:rPr>
        <w:t>les CV des créateurs ou principaux participants avec leurs références antérieures</w:t>
      </w:r>
      <w:bookmarkStart w:id="25" w:name="_GoBack"/>
      <w:bookmarkEnd w:id="25"/>
    </w:p>
    <w:p w:rsidR="00720D8A" w:rsidRPr="000A233D" w:rsidRDefault="00720D8A" w:rsidP="00E34AD9">
      <w:pPr>
        <w:numPr>
          <w:ilvl w:val="0"/>
          <w:numId w:val="1"/>
        </w:numPr>
        <w:spacing w:after="30"/>
        <w:ind w:left="283" w:hanging="170"/>
        <w:jc w:val="both"/>
        <w:rPr>
          <w:rFonts w:ascii="Calibri" w:hAnsi="Calibri"/>
          <w:color w:val="002060"/>
          <w:sz w:val="20"/>
          <w:szCs w:val="20"/>
        </w:rPr>
      </w:pPr>
      <w:r w:rsidRPr="000A233D">
        <w:rPr>
          <w:rFonts w:ascii="Calibri" w:hAnsi="Calibri"/>
          <w:color w:val="002060"/>
          <w:sz w:val="20"/>
          <w:szCs w:val="20"/>
        </w:rPr>
        <w:t>les études commerciales et techniques préalables (à modérer en fonction du degré de confidentialité)</w:t>
      </w:r>
    </w:p>
    <w:p w:rsidR="00720D8A" w:rsidRPr="000A233D" w:rsidRDefault="00720D8A" w:rsidP="00E34AD9">
      <w:pPr>
        <w:numPr>
          <w:ilvl w:val="0"/>
          <w:numId w:val="1"/>
        </w:numPr>
        <w:spacing w:after="30"/>
        <w:ind w:left="283" w:hanging="170"/>
        <w:jc w:val="both"/>
        <w:rPr>
          <w:rFonts w:ascii="Calibri" w:hAnsi="Calibri"/>
          <w:color w:val="002060"/>
          <w:sz w:val="20"/>
          <w:szCs w:val="20"/>
        </w:rPr>
      </w:pPr>
      <w:r w:rsidRPr="000A233D">
        <w:rPr>
          <w:rFonts w:ascii="Calibri" w:hAnsi="Calibri"/>
          <w:color w:val="002060"/>
          <w:sz w:val="20"/>
          <w:szCs w:val="20"/>
        </w:rPr>
        <w:t>les résultats antérieurs en matière commerciale et technique de l’entreprise</w:t>
      </w:r>
    </w:p>
    <w:p w:rsidR="00720D8A" w:rsidRPr="000A233D" w:rsidRDefault="00720D8A" w:rsidP="000A233D">
      <w:pPr>
        <w:numPr>
          <w:ilvl w:val="0"/>
          <w:numId w:val="1"/>
        </w:numPr>
        <w:spacing w:after="60"/>
        <w:ind w:left="283" w:hanging="170"/>
        <w:jc w:val="both"/>
        <w:rPr>
          <w:rFonts w:ascii="Calibri" w:hAnsi="Calibri"/>
          <w:color w:val="002060"/>
          <w:sz w:val="20"/>
          <w:szCs w:val="20"/>
        </w:rPr>
      </w:pPr>
      <w:r w:rsidRPr="000A233D">
        <w:rPr>
          <w:rFonts w:ascii="Calibri" w:hAnsi="Calibri"/>
          <w:color w:val="002060"/>
          <w:sz w:val="20"/>
          <w:szCs w:val="20"/>
        </w:rPr>
        <w:t>les derniers comptes annuels ou situations financières</w:t>
      </w:r>
    </w:p>
    <w:p w:rsidR="00720D8A" w:rsidRPr="000A233D" w:rsidRDefault="00E34AD9" w:rsidP="00E34AD9">
      <w:pPr>
        <w:spacing w:after="30"/>
        <w:jc w:val="both"/>
        <w:rPr>
          <w:rFonts w:ascii="Calibri" w:hAnsi="Calibri"/>
          <w:color w:val="002060"/>
          <w:sz w:val="20"/>
          <w:szCs w:val="20"/>
        </w:rPr>
      </w:pPr>
      <w:r w:rsidRPr="000A233D">
        <w:rPr>
          <w:rFonts w:ascii="Calibri" w:hAnsi="Calibri"/>
          <w:color w:val="002060"/>
          <w:sz w:val="20"/>
          <w:szCs w:val="20"/>
        </w:rPr>
        <w:lastRenderedPageBreak/>
        <w:t>Et</w:t>
      </w:r>
      <w:r w:rsidR="00720D8A" w:rsidRPr="000A233D">
        <w:rPr>
          <w:rFonts w:ascii="Calibri" w:hAnsi="Calibri"/>
          <w:color w:val="002060"/>
          <w:sz w:val="20"/>
          <w:szCs w:val="20"/>
        </w:rPr>
        <w:t xml:space="preserve"> </w:t>
      </w:r>
      <w:r w:rsidR="00C03C4E">
        <w:rPr>
          <w:rFonts w:ascii="Calibri" w:hAnsi="Calibri"/>
          <w:color w:val="002060"/>
          <w:sz w:val="20"/>
          <w:szCs w:val="20"/>
        </w:rPr>
        <w:t xml:space="preserve">éventuellement </w:t>
      </w:r>
      <w:r w:rsidR="00720D8A" w:rsidRPr="000A233D">
        <w:rPr>
          <w:rFonts w:ascii="Calibri" w:hAnsi="Calibri"/>
          <w:color w:val="002060"/>
          <w:sz w:val="20"/>
          <w:szCs w:val="20"/>
        </w:rPr>
        <w:t>les détails des budgets et comptes prévisionnels :</w:t>
      </w:r>
    </w:p>
    <w:p w:rsidR="00720D8A" w:rsidRPr="000A233D" w:rsidRDefault="00720D8A" w:rsidP="00E34AD9">
      <w:pPr>
        <w:numPr>
          <w:ilvl w:val="0"/>
          <w:numId w:val="1"/>
        </w:numPr>
        <w:spacing w:after="30"/>
        <w:ind w:left="283" w:hanging="170"/>
        <w:jc w:val="both"/>
        <w:rPr>
          <w:rFonts w:ascii="Calibri" w:hAnsi="Calibri"/>
          <w:color w:val="002060"/>
          <w:sz w:val="20"/>
          <w:szCs w:val="20"/>
        </w:rPr>
      </w:pPr>
      <w:r w:rsidRPr="000A233D">
        <w:rPr>
          <w:rFonts w:ascii="Calibri" w:hAnsi="Calibri"/>
          <w:color w:val="002060"/>
          <w:sz w:val="20"/>
          <w:szCs w:val="20"/>
        </w:rPr>
        <w:t>prévisions sur 12 mois de ventes, marges, charges de personnel et autres charges fixes,</w:t>
      </w:r>
    </w:p>
    <w:p w:rsidR="00720D8A" w:rsidRPr="000A233D" w:rsidRDefault="00720D8A" w:rsidP="00E34AD9">
      <w:pPr>
        <w:numPr>
          <w:ilvl w:val="0"/>
          <w:numId w:val="1"/>
        </w:numPr>
        <w:spacing w:after="30"/>
        <w:ind w:left="283" w:hanging="170"/>
        <w:jc w:val="both"/>
        <w:rPr>
          <w:rFonts w:ascii="Calibri" w:hAnsi="Calibri"/>
          <w:color w:val="002060"/>
          <w:sz w:val="20"/>
          <w:szCs w:val="20"/>
        </w:rPr>
      </w:pPr>
      <w:r w:rsidRPr="000A233D">
        <w:rPr>
          <w:rFonts w:ascii="Calibri" w:hAnsi="Calibri"/>
          <w:color w:val="002060"/>
          <w:sz w:val="20"/>
          <w:szCs w:val="20"/>
        </w:rPr>
        <w:t>prévisions sur 12 mois des encaissements et décaissements, et mobilisations de créances</w:t>
      </w:r>
    </w:p>
    <w:p w:rsidR="00720D8A" w:rsidRPr="00B807E4" w:rsidRDefault="00720D8A" w:rsidP="00B807E4">
      <w:pPr>
        <w:numPr>
          <w:ilvl w:val="0"/>
          <w:numId w:val="1"/>
        </w:numPr>
        <w:ind w:left="283" w:hanging="170"/>
        <w:jc w:val="both"/>
        <w:rPr>
          <w:rFonts w:ascii="Calibri" w:hAnsi="Calibri"/>
          <w:color w:val="002060"/>
          <w:sz w:val="20"/>
          <w:szCs w:val="20"/>
        </w:rPr>
      </w:pPr>
      <w:r w:rsidRPr="000A233D">
        <w:rPr>
          <w:rFonts w:ascii="Calibri" w:hAnsi="Calibri"/>
          <w:color w:val="002060"/>
          <w:sz w:val="20"/>
          <w:szCs w:val="20"/>
        </w:rPr>
        <w:t>éventuellement des détails de prévisions pluriannuelles</w:t>
      </w:r>
    </w:p>
    <w:sectPr w:rsidR="00720D8A" w:rsidRPr="00B807E4" w:rsidSect="00FA5DF3">
      <w:headerReference w:type="default" r:id="rId9"/>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80E" w:rsidRDefault="0063080E">
      <w:r>
        <w:separator/>
      </w:r>
    </w:p>
  </w:endnote>
  <w:endnote w:type="continuationSeparator" w:id="0">
    <w:p w:rsidR="0063080E" w:rsidRDefault="006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80E" w:rsidRDefault="0063080E">
      <w:r>
        <w:separator/>
      </w:r>
    </w:p>
  </w:footnote>
  <w:footnote w:type="continuationSeparator" w:id="0">
    <w:p w:rsidR="0063080E" w:rsidRDefault="0063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45" w:rsidRPr="00F42EAA" w:rsidRDefault="001D7945">
    <w:pPr>
      <w:pStyle w:val="En-tte"/>
      <w:jc w:val="right"/>
      <w:rPr>
        <w:rFonts w:asciiTheme="minorHAnsi" w:hAnsiTheme="minorHAnsi"/>
        <w:sz w:val="18"/>
      </w:rPr>
    </w:pPr>
    <w:r w:rsidRPr="00F42EAA">
      <w:rPr>
        <w:rStyle w:val="Numrodepage"/>
        <w:rFonts w:asciiTheme="minorHAnsi" w:hAnsiTheme="minorHAnsi"/>
        <w:sz w:val="18"/>
      </w:rPr>
      <w:fldChar w:fldCharType="begin"/>
    </w:r>
    <w:r w:rsidRPr="00F42EAA">
      <w:rPr>
        <w:rStyle w:val="Numrodepage"/>
        <w:rFonts w:asciiTheme="minorHAnsi" w:hAnsiTheme="minorHAnsi"/>
        <w:sz w:val="18"/>
      </w:rPr>
      <w:instrText xml:space="preserve"> PAGE </w:instrText>
    </w:r>
    <w:r w:rsidRPr="00F42EAA">
      <w:rPr>
        <w:rStyle w:val="Numrodepage"/>
        <w:rFonts w:asciiTheme="minorHAnsi" w:hAnsiTheme="minorHAnsi"/>
        <w:sz w:val="18"/>
      </w:rPr>
      <w:fldChar w:fldCharType="separate"/>
    </w:r>
    <w:r w:rsidR="00040C66">
      <w:rPr>
        <w:rStyle w:val="Numrodepage"/>
        <w:rFonts w:asciiTheme="minorHAnsi" w:hAnsiTheme="minorHAnsi"/>
        <w:noProof/>
        <w:sz w:val="18"/>
      </w:rPr>
      <w:t>7</w:t>
    </w:r>
    <w:r w:rsidRPr="00F42EAA">
      <w:rPr>
        <w:rStyle w:val="Numrodepage"/>
        <w:rFonts w:asciiTheme="minorHAnsi" w:hAnsiTheme="minorHAnsi"/>
        <w:sz w:val="18"/>
      </w:rPr>
      <w:fldChar w:fldCharType="end"/>
    </w:r>
    <w:r w:rsidRPr="00F42EAA">
      <w:rPr>
        <w:rStyle w:val="Numrodepage"/>
        <w:rFonts w:asciiTheme="minorHAnsi" w:hAnsiTheme="minorHAnsi"/>
        <w:sz w:val="18"/>
      </w:rPr>
      <w:t>/</w:t>
    </w:r>
    <w:r w:rsidRPr="00F42EAA">
      <w:rPr>
        <w:rStyle w:val="Numrodepage"/>
        <w:rFonts w:asciiTheme="minorHAnsi" w:hAnsiTheme="minorHAnsi"/>
        <w:sz w:val="18"/>
      </w:rPr>
      <w:fldChar w:fldCharType="begin"/>
    </w:r>
    <w:r w:rsidRPr="00F42EAA">
      <w:rPr>
        <w:rStyle w:val="Numrodepage"/>
        <w:rFonts w:asciiTheme="minorHAnsi" w:hAnsiTheme="minorHAnsi"/>
        <w:sz w:val="18"/>
      </w:rPr>
      <w:instrText xml:space="preserve"> NUMPAGES </w:instrText>
    </w:r>
    <w:r w:rsidRPr="00F42EAA">
      <w:rPr>
        <w:rStyle w:val="Numrodepage"/>
        <w:rFonts w:asciiTheme="minorHAnsi" w:hAnsiTheme="minorHAnsi"/>
        <w:sz w:val="18"/>
      </w:rPr>
      <w:fldChar w:fldCharType="separate"/>
    </w:r>
    <w:r w:rsidR="00040C66">
      <w:rPr>
        <w:rStyle w:val="Numrodepage"/>
        <w:rFonts w:asciiTheme="minorHAnsi" w:hAnsiTheme="minorHAnsi"/>
        <w:noProof/>
        <w:sz w:val="18"/>
      </w:rPr>
      <w:t>7</w:t>
    </w:r>
    <w:r w:rsidRPr="00F42EAA">
      <w:rPr>
        <w:rStyle w:val="Numrodepage"/>
        <w:rFonts w:asciiTheme="minorHAnsi" w:hAnsiTheme="minorHAnsi"/>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i1026" type="#_x0000_t75" alt="triangle" style="width:9pt;height:7.5pt;visibility:visible;mso-wrap-style:square" o:bullet="t">
        <v:imagedata r:id="rId1" o:title="triangle"/>
      </v:shape>
    </w:pict>
  </w:numPicBullet>
  <w:abstractNum w:abstractNumId="0" w15:restartNumberingAfterBreak="0">
    <w:nsid w:val="0D4D7941"/>
    <w:multiLevelType w:val="hybridMultilevel"/>
    <w:tmpl w:val="A204E24E"/>
    <w:lvl w:ilvl="0" w:tplc="1124015C">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4E2960"/>
    <w:multiLevelType w:val="hybridMultilevel"/>
    <w:tmpl w:val="E6ACF3EA"/>
    <w:lvl w:ilvl="0" w:tplc="E18080F6">
      <w:start w:val="1"/>
      <w:numFmt w:val="bullet"/>
      <w:lvlText w:val=""/>
      <w:lvlPicBulletId w:val="0"/>
      <w:lvlJc w:val="left"/>
      <w:pPr>
        <w:tabs>
          <w:tab w:val="num" w:pos="720"/>
        </w:tabs>
        <w:ind w:left="720" w:hanging="360"/>
      </w:pPr>
      <w:rPr>
        <w:rFonts w:ascii="Symbol" w:hAnsi="Symbol" w:hint="default"/>
      </w:rPr>
    </w:lvl>
    <w:lvl w:ilvl="1" w:tplc="C8B41DD2" w:tentative="1">
      <w:start w:val="1"/>
      <w:numFmt w:val="bullet"/>
      <w:lvlText w:val=""/>
      <w:lvlJc w:val="left"/>
      <w:pPr>
        <w:tabs>
          <w:tab w:val="num" w:pos="1440"/>
        </w:tabs>
        <w:ind w:left="1440" w:hanging="360"/>
      </w:pPr>
      <w:rPr>
        <w:rFonts w:ascii="Symbol" w:hAnsi="Symbol" w:hint="default"/>
      </w:rPr>
    </w:lvl>
    <w:lvl w:ilvl="2" w:tplc="65504780" w:tentative="1">
      <w:start w:val="1"/>
      <w:numFmt w:val="bullet"/>
      <w:lvlText w:val=""/>
      <w:lvlJc w:val="left"/>
      <w:pPr>
        <w:tabs>
          <w:tab w:val="num" w:pos="2160"/>
        </w:tabs>
        <w:ind w:left="2160" w:hanging="360"/>
      </w:pPr>
      <w:rPr>
        <w:rFonts w:ascii="Symbol" w:hAnsi="Symbol" w:hint="default"/>
      </w:rPr>
    </w:lvl>
    <w:lvl w:ilvl="3" w:tplc="8DC8CE74" w:tentative="1">
      <w:start w:val="1"/>
      <w:numFmt w:val="bullet"/>
      <w:lvlText w:val=""/>
      <w:lvlJc w:val="left"/>
      <w:pPr>
        <w:tabs>
          <w:tab w:val="num" w:pos="2880"/>
        </w:tabs>
        <w:ind w:left="2880" w:hanging="360"/>
      </w:pPr>
      <w:rPr>
        <w:rFonts w:ascii="Symbol" w:hAnsi="Symbol" w:hint="default"/>
      </w:rPr>
    </w:lvl>
    <w:lvl w:ilvl="4" w:tplc="DBDE81AC" w:tentative="1">
      <w:start w:val="1"/>
      <w:numFmt w:val="bullet"/>
      <w:lvlText w:val=""/>
      <w:lvlJc w:val="left"/>
      <w:pPr>
        <w:tabs>
          <w:tab w:val="num" w:pos="3600"/>
        </w:tabs>
        <w:ind w:left="3600" w:hanging="360"/>
      </w:pPr>
      <w:rPr>
        <w:rFonts w:ascii="Symbol" w:hAnsi="Symbol" w:hint="default"/>
      </w:rPr>
    </w:lvl>
    <w:lvl w:ilvl="5" w:tplc="4C92CFC2" w:tentative="1">
      <w:start w:val="1"/>
      <w:numFmt w:val="bullet"/>
      <w:lvlText w:val=""/>
      <w:lvlJc w:val="left"/>
      <w:pPr>
        <w:tabs>
          <w:tab w:val="num" w:pos="4320"/>
        </w:tabs>
        <w:ind w:left="4320" w:hanging="360"/>
      </w:pPr>
      <w:rPr>
        <w:rFonts w:ascii="Symbol" w:hAnsi="Symbol" w:hint="default"/>
      </w:rPr>
    </w:lvl>
    <w:lvl w:ilvl="6" w:tplc="DD00DD1A" w:tentative="1">
      <w:start w:val="1"/>
      <w:numFmt w:val="bullet"/>
      <w:lvlText w:val=""/>
      <w:lvlJc w:val="left"/>
      <w:pPr>
        <w:tabs>
          <w:tab w:val="num" w:pos="5040"/>
        </w:tabs>
        <w:ind w:left="5040" w:hanging="360"/>
      </w:pPr>
      <w:rPr>
        <w:rFonts w:ascii="Symbol" w:hAnsi="Symbol" w:hint="default"/>
      </w:rPr>
    </w:lvl>
    <w:lvl w:ilvl="7" w:tplc="DE4238D8" w:tentative="1">
      <w:start w:val="1"/>
      <w:numFmt w:val="bullet"/>
      <w:lvlText w:val=""/>
      <w:lvlJc w:val="left"/>
      <w:pPr>
        <w:tabs>
          <w:tab w:val="num" w:pos="5760"/>
        </w:tabs>
        <w:ind w:left="5760" w:hanging="360"/>
      </w:pPr>
      <w:rPr>
        <w:rFonts w:ascii="Symbol" w:hAnsi="Symbol" w:hint="default"/>
      </w:rPr>
    </w:lvl>
    <w:lvl w:ilvl="8" w:tplc="1BC82CF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25504DF"/>
    <w:multiLevelType w:val="hybridMultilevel"/>
    <w:tmpl w:val="5ECAE6B4"/>
    <w:lvl w:ilvl="0" w:tplc="8D34761A">
      <w:numFmt w:val="bullet"/>
      <w:lvlText w:val="-"/>
      <w:lvlJc w:val="left"/>
      <w:pPr>
        <w:tabs>
          <w:tab w:val="num" w:pos="720"/>
        </w:tabs>
        <w:ind w:left="720" w:hanging="360"/>
      </w:pPr>
      <w:rPr>
        <w:rFonts w:ascii="Garamond" w:eastAsia="Times New Roman" w:hAnsi="Garamon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3D"/>
    <w:rsid w:val="00016B6A"/>
    <w:rsid w:val="00034C73"/>
    <w:rsid w:val="00040C66"/>
    <w:rsid w:val="000473E6"/>
    <w:rsid w:val="00057225"/>
    <w:rsid w:val="00087ECF"/>
    <w:rsid w:val="000A233D"/>
    <w:rsid w:val="001026B7"/>
    <w:rsid w:val="001D7945"/>
    <w:rsid w:val="00254479"/>
    <w:rsid w:val="002F3B9C"/>
    <w:rsid w:val="003318EE"/>
    <w:rsid w:val="00362E1F"/>
    <w:rsid w:val="00387A67"/>
    <w:rsid w:val="0049129A"/>
    <w:rsid w:val="004A0294"/>
    <w:rsid w:val="00570C56"/>
    <w:rsid w:val="00590DB6"/>
    <w:rsid w:val="00596540"/>
    <w:rsid w:val="005D2321"/>
    <w:rsid w:val="00613F3A"/>
    <w:rsid w:val="0063080E"/>
    <w:rsid w:val="0067669B"/>
    <w:rsid w:val="006B4B3D"/>
    <w:rsid w:val="00714DF2"/>
    <w:rsid w:val="00720D8A"/>
    <w:rsid w:val="0076533D"/>
    <w:rsid w:val="007B68E9"/>
    <w:rsid w:val="007C68CB"/>
    <w:rsid w:val="00805E41"/>
    <w:rsid w:val="00841D8B"/>
    <w:rsid w:val="008A728F"/>
    <w:rsid w:val="008E20A4"/>
    <w:rsid w:val="00902EAD"/>
    <w:rsid w:val="00903138"/>
    <w:rsid w:val="00981822"/>
    <w:rsid w:val="009E4748"/>
    <w:rsid w:val="00A76F0C"/>
    <w:rsid w:val="00AD735D"/>
    <w:rsid w:val="00B04B01"/>
    <w:rsid w:val="00B807E4"/>
    <w:rsid w:val="00C03C4E"/>
    <w:rsid w:val="00C755FC"/>
    <w:rsid w:val="00C91D24"/>
    <w:rsid w:val="00CD6225"/>
    <w:rsid w:val="00D86116"/>
    <w:rsid w:val="00E0077F"/>
    <w:rsid w:val="00E34AD9"/>
    <w:rsid w:val="00EC21CB"/>
    <w:rsid w:val="00F42EAA"/>
    <w:rsid w:val="00FA5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3C63DE"/>
  <w15:chartTrackingRefBased/>
  <w15:docId w15:val="{5CA79009-E3D0-497F-BD73-48F58712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semiHidden/>
    <w:rsid w:val="007C68CB"/>
    <w:pPr>
      <w:tabs>
        <w:tab w:val="right" w:leader="dot" w:pos="9062"/>
      </w:tabs>
    </w:pPr>
    <w:rPr>
      <w:rFonts w:ascii="Garamond" w:hAnsi="Garamond"/>
      <w:b/>
      <w:bCs/>
      <w:noProof/>
    </w:rPr>
  </w:style>
  <w:style w:type="paragraph" w:styleId="TM2">
    <w:name w:val="toc 2"/>
    <w:basedOn w:val="Normal"/>
    <w:next w:val="Normal"/>
    <w:autoRedefine/>
    <w:semiHidden/>
    <w:rsid w:val="00C91D24"/>
    <w:pPr>
      <w:tabs>
        <w:tab w:val="right" w:leader="dot" w:pos="9062"/>
      </w:tabs>
      <w:ind w:left="284"/>
    </w:pPr>
  </w:style>
  <w:style w:type="paragraph" w:styleId="TM3">
    <w:name w:val="toc 3"/>
    <w:basedOn w:val="Normal"/>
    <w:next w:val="Normal"/>
    <w:autoRedefine/>
    <w:semiHidden/>
    <w:pPr>
      <w:ind w:left="480"/>
    </w:pPr>
  </w:style>
  <w:style w:type="character" w:styleId="Lienhypertexte">
    <w:name w:val="Hyperlink"/>
    <w:basedOn w:val="Policepardfaut"/>
    <w:rPr>
      <w:rFonts w:ascii="Times New Roman" w:hAnsi="Times New Roman" w:cs="Times New Roman"/>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rPr>
      <w:rFonts w:ascii="Times New Roman" w:hAnsi="Times New Roman" w:cs="Times New Roman"/>
    </w:rPr>
  </w:style>
  <w:style w:type="paragraph" w:styleId="Paragraphedeliste">
    <w:name w:val="List Paragraph"/>
    <w:basedOn w:val="Normal"/>
    <w:uiPriority w:val="34"/>
    <w:qFormat/>
    <w:rsid w:val="00613F3A"/>
    <w:pPr>
      <w:ind w:left="720"/>
      <w:contextualSpacing/>
    </w:pPr>
  </w:style>
  <w:style w:type="paragraph" w:styleId="Textedebulles">
    <w:name w:val="Balloon Text"/>
    <w:basedOn w:val="Normal"/>
    <w:link w:val="TextedebullesCar"/>
    <w:rsid w:val="00034C73"/>
    <w:rPr>
      <w:rFonts w:ascii="Segoe UI" w:hAnsi="Segoe UI" w:cs="Segoe UI"/>
      <w:sz w:val="18"/>
      <w:szCs w:val="18"/>
    </w:rPr>
  </w:style>
  <w:style w:type="character" w:customStyle="1" w:styleId="TextedebullesCar">
    <w:name w:val="Texte de bulles Car"/>
    <w:basedOn w:val="Policepardfaut"/>
    <w:link w:val="Textedebulles"/>
    <w:rsid w:val="00034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netpme.fr/business-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3832</Words>
  <Characters>23143</Characters>
  <Application>Microsoft Office Word</Application>
  <DocSecurity>0</DocSecurity>
  <Lines>192</Lines>
  <Paragraphs>53</Paragraphs>
  <ScaleCrop>false</ScaleCrop>
  <HeadingPairs>
    <vt:vector size="2" baseType="variant">
      <vt:variant>
        <vt:lpstr>Titre</vt:lpstr>
      </vt:variant>
      <vt:variant>
        <vt:i4>1</vt:i4>
      </vt:variant>
    </vt:vector>
  </HeadingPairs>
  <TitlesOfParts>
    <vt:vector size="1" baseType="lpstr">
      <vt:lpstr>EXAFI Business Plan</vt:lpstr>
    </vt:vector>
  </TitlesOfParts>
  <Company>EXAFI</Company>
  <LinksUpToDate>false</LinksUpToDate>
  <CharactersWithSpaces>26922</CharactersWithSpaces>
  <SharedDoc>false</SharedDoc>
  <HLinks>
    <vt:vector size="168" baseType="variant">
      <vt:variant>
        <vt:i4>2031674</vt:i4>
      </vt:variant>
      <vt:variant>
        <vt:i4>155</vt:i4>
      </vt:variant>
      <vt:variant>
        <vt:i4>0</vt:i4>
      </vt:variant>
      <vt:variant>
        <vt:i4>5</vt:i4>
      </vt:variant>
      <vt:variant>
        <vt:lpwstr/>
      </vt:variant>
      <vt:variant>
        <vt:lpwstr>_Toc529805673</vt:lpwstr>
      </vt:variant>
      <vt:variant>
        <vt:i4>2031674</vt:i4>
      </vt:variant>
      <vt:variant>
        <vt:i4>149</vt:i4>
      </vt:variant>
      <vt:variant>
        <vt:i4>0</vt:i4>
      </vt:variant>
      <vt:variant>
        <vt:i4>5</vt:i4>
      </vt:variant>
      <vt:variant>
        <vt:lpwstr/>
      </vt:variant>
      <vt:variant>
        <vt:lpwstr>_Toc529805672</vt:lpwstr>
      </vt:variant>
      <vt:variant>
        <vt:i4>2031674</vt:i4>
      </vt:variant>
      <vt:variant>
        <vt:i4>143</vt:i4>
      </vt:variant>
      <vt:variant>
        <vt:i4>0</vt:i4>
      </vt:variant>
      <vt:variant>
        <vt:i4>5</vt:i4>
      </vt:variant>
      <vt:variant>
        <vt:lpwstr/>
      </vt:variant>
      <vt:variant>
        <vt:lpwstr>_Toc529805671</vt:lpwstr>
      </vt:variant>
      <vt:variant>
        <vt:i4>2031674</vt:i4>
      </vt:variant>
      <vt:variant>
        <vt:i4>137</vt:i4>
      </vt:variant>
      <vt:variant>
        <vt:i4>0</vt:i4>
      </vt:variant>
      <vt:variant>
        <vt:i4>5</vt:i4>
      </vt:variant>
      <vt:variant>
        <vt:lpwstr/>
      </vt:variant>
      <vt:variant>
        <vt:lpwstr>_Toc529805670</vt:lpwstr>
      </vt:variant>
      <vt:variant>
        <vt:i4>1966138</vt:i4>
      </vt:variant>
      <vt:variant>
        <vt:i4>131</vt:i4>
      </vt:variant>
      <vt:variant>
        <vt:i4>0</vt:i4>
      </vt:variant>
      <vt:variant>
        <vt:i4>5</vt:i4>
      </vt:variant>
      <vt:variant>
        <vt:lpwstr/>
      </vt:variant>
      <vt:variant>
        <vt:lpwstr>_Toc529805669</vt:lpwstr>
      </vt:variant>
      <vt:variant>
        <vt:i4>1966138</vt:i4>
      </vt:variant>
      <vt:variant>
        <vt:i4>125</vt:i4>
      </vt:variant>
      <vt:variant>
        <vt:i4>0</vt:i4>
      </vt:variant>
      <vt:variant>
        <vt:i4>5</vt:i4>
      </vt:variant>
      <vt:variant>
        <vt:lpwstr/>
      </vt:variant>
      <vt:variant>
        <vt:lpwstr>_Toc529805668</vt:lpwstr>
      </vt:variant>
      <vt:variant>
        <vt:i4>1966138</vt:i4>
      </vt:variant>
      <vt:variant>
        <vt:i4>119</vt:i4>
      </vt:variant>
      <vt:variant>
        <vt:i4>0</vt:i4>
      </vt:variant>
      <vt:variant>
        <vt:i4>5</vt:i4>
      </vt:variant>
      <vt:variant>
        <vt:lpwstr/>
      </vt:variant>
      <vt:variant>
        <vt:lpwstr>_Toc529805667</vt:lpwstr>
      </vt:variant>
      <vt:variant>
        <vt:i4>1966138</vt:i4>
      </vt:variant>
      <vt:variant>
        <vt:i4>113</vt:i4>
      </vt:variant>
      <vt:variant>
        <vt:i4>0</vt:i4>
      </vt:variant>
      <vt:variant>
        <vt:i4>5</vt:i4>
      </vt:variant>
      <vt:variant>
        <vt:lpwstr/>
      </vt:variant>
      <vt:variant>
        <vt:lpwstr>_Toc529805666</vt:lpwstr>
      </vt:variant>
      <vt:variant>
        <vt:i4>1966138</vt:i4>
      </vt:variant>
      <vt:variant>
        <vt:i4>107</vt:i4>
      </vt:variant>
      <vt:variant>
        <vt:i4>0</vt:i4>
      </vt:variant>
      <vt:variant>
        <vt:i4>5</vt:i4>
      </vt:variant>
      <vt:variant>
        <vt:lpwstr/>
      </vt:variant>
      <vt:variant>
        <vt:lpwstr>_Toc529805665</vt:lpwstr>
      </vt:variant>
      <vt:variant>
        <vt:i4>1966138</vt:i4>
      </vt:variant>
      <vt:variant>
        <vt:i4>101</vt:i4>
      </vt:variant>
      <vt:variant>
        <vt:i4>0</vt:i4>
      </vt:variant>
      <vt:variant>
        <vt:i4>5</vt:i4>
      </vt:variant>
      <vt:variant>
        <vt:lpwstr/>
      </vt:variant>
      <vt:variant>
        <vt:lpwstr>_Toc529805664</vt:lpwstr>
      </vt:variant>
      <vt:variant>
        <vt:i4>1966138</vt:i4>
      </vt:variant>
      <vt:variant>
        <vt:i4>95</vt:i4>
      </vt:variant>
      <vt:variant>
        <vt:i4>0</vt:i4>
      </vt:variant>
      <vt:variant>
        <vt:i4>5</vt:i4>
      </vt:variant>
      <vt:variant>
        <vt:lpwstr/>
      </vt:variant>
      <vt:variant>
        <vt:lpwstr>_Toc529805663</vt:lpwstr>
      </vt:variant>
      <vt:variant>
        <vt:i4>1966138</vt:i4>
      </vt:variant>
      <vt:variant>
        <vt:i4>89</vt:i4>
      </vt:variant>
      <vt:variant>
        <vt:i4>0</vt:i4>
      </vt:variant>
      <vt:variant>
        <vt:i4>5</vt:i4>
      </vt:variant>
      <vt:variant>
        <vt:lpwstr/>
      </vt:variant>
      <vt:variant>
        <vt:lpwstr>_Toc529805662</vt:lpwstr>
      </vt:variant>
      <vt:variant>
        <vt:i4>1966138</vt:i4>
      </vt:variant>
      <vt:variant>
        <vt:i4>83</vt:i4>
      </vt:variant>
      <vt:variant>
        <vt:i4>0</vt:i4>
      </vt:variant>
      <vt:variant>
        <vt:i4>5</vt:i4>
      </vt:variant>
      <vt:variant>
        <vt:lpwstr/>
      </vt:variant>
      <vt:variant>
        <vt:lpwstr>_Toc529805661</vt:lpwstr>
      </vt:variant>
      <vt:variant>
        <vt:i4>1966138</vt:i4>
      </vt:variant>
      <vt:variant>
        <vt:i4>77</vt:i4>
      </vt:variant>
      <vt:variant>
        <vt:i4>0</vt:i4>
      </vt:variant>
      <vt:variant>
        <vt:i4>5</vt:i4>
      </vt:variant>
      <vt:variant>
        <vt:lpwstr/>
      </vt:variant>
      <vt:variant>
        <vt:lpwstr>_Toc529805660</vt:lpwstr>
      </vt:variant>
      <vt:variant>
        <vt:i4>1900602</vt:i4>
      </vt:variant>
      <vt:variant>
        <vt:i4>71</vt:i4>
      </vt:variant>
      <vt:variant>
        <vt:i4>0</vt:i4>
      </vt:variant>
      <vt:variant>
        <vt:i4>5</vt:i4>
      </vt:variant>
      <vt:variant>
        <vt:lpwstr/>
      </vt:variant>
      <vt:variant>
        <vt:lpwstr>_Toc529805659</vt:lpwstr>
      </vt:variant>
      <vt:variant>
        <vt:i4>1900602</vt:i4>
      </vt:variant>
      <vt:variant>
        <vt:i4>65</vt:i4>
      </vt:variant>
      <vt:variant>
        <vt:i4>0</vt:i4>
      </vt:variant>
      <vt:variant>
        <vt:i4>5</vt:i4>
      </vt:variant>
      <vt:variant>
        <vt:lpwstr/>
      </vt:variant>
      <vt:variant>
        <vt:lpwstr>_Toc529805658</vt:lpwstr>
      </vt:variant>
      <vt:variant>
        <vt:i4>1900602</vt:i4>
      </vt:variant>
      <vt:variant>
        <vt:i4>59</vt:i4>
      </vt:variant>
      <vt:variant>
        <vt:i4>0</vt:i4>
      </vt:variant>
      <vt:variant>
        <vt:i4>5</vt:i4>
      </vt:variant>
      <vt:variant>
        <vt:lpwstr/>
      </vt:variant>
      <vt:variant>
        <vt:lpwstr>_Toc529805657</vt:lpwstr>
      </vt:variant>
      <vt:variant>
        <vt:i4>1900602</vt:i4>
      </vt:variant>
      <vt:variant>
        <vt:i4>53</vt:i4>
      </vt:variant>
      <vt:variant>
        <vt:i4>0</vt:i4>
      </vt:variant>
      <vt:variant>
        <vt:i4>5</vt:i4>
      </vt:variant>
      <vt:variant>
        <vt:lpwstr/>
      </vt:variant>
      <vt:variant>
        <vt:lpwstr>_Toc529805656</vt:lpwstr>
      </vt:variant>
      <vt:variant>
        <vt:i4>1900602</vt:i4>
      </vt:variant>
      <vt:variant>
        <vt:i4>47</vt:i4>
      </vt:variant>
      <vt:variant>
        <vt:i4>0</vt:i4>
      </vt:variant>
      <vt:variant>
        <vt:i4>5</vt:i4>
      </vt:variant>
      <vt:variant>
        <vt:lpwstr/>
      </vt:variant>
      <vt:variant>
        <vt:lpwstr>_Toc529805655</vt:lpwstr>
      </vt:variant>
      <vt:variant>
        <vt:i4>1900602</vt:i4>
      </vt:variant>
      <vt:variant>
        <vt:i4>41</vt:i4>
      </vt:variant>
      <vt:variant>
        <vt:i4>0</vt:i4>
      </vt:variant>
      <vt:variant>
        <vt:i4>5</vt:i4>
      </vt:variant>
      <vt:variant>
        <vt:lpwstr/>
      </vt:variant>
      <vt:variant>
        <vt:lpwstr>_Toc529805654</vt:lpwstr>
      </vt:variant>
      <vt:variant>
        <vt:i4>1900602</vt:i4>
      </vt:variant>
      <vt:variant>
        <vt:i4>35</vt:i4>
      </vt:variant>
      <vt:variant>
        <vt:i4>0</vt:i4>
      </vt:variant>
      <vt:variant>
        <vt:i4>5</vt:i4>
      </vt:variant>
      <vt:variant>
        <vt:lpwstr/>
      </vt:variant>
      <vt:variant>
        <vt:lpwstr>_Toc529805653</vt:lpwstr>
      </vt:variant>
      <vt:variant>
        <vt:i4>1900602</vt:i4>
      </vt:variant>
      <vt:variant>
        <vt:i4>29</vt:i4>
      </vt:variant>
      <vt:variant>
        <vt:i4>0</vt:i4>
      </vt:variant>
      <vt:variant>
        <vt:i4>5</vt:i4>
      </vt:variant>
      <vt:variant>
        <vt:lpwstr/>
      </vt:variant>
      <vt:variant>
        <vt:lpwstr>_Toc529805652</vt:lpwstr>
      </vt:variant>
      <vt:variant>
        <vt:i4>1900602</vt:i4>
      </vt:variant>
      <vt:variant>
        <vt:i4>23</vt:i4>
      </vt:variant>
      <vt:variant>
        <vt:i4>0</vt:i4>
      </vt:variant>
      <vt:variant>
        <vt:i4>5</vt:i4>
      </vt:variant>
      <vt:variant>
        <vt:lpwstr/>
      </vt:variant>
      <vt:variant>
        <vt:lpwstr>_Toc529805651</vt:lpwstr>
      </vt:variant>
      <vt:variant>
        <vt:i4>1900602</vt:i4>
      </vt:variant>
      <vt:variant>
        <vt:i4>17</vt:i4>
      </vt:variant>
      <vt:variant>
        <vt:i4>0</vt:i4>
      </vt:variant>
      <vt:variant>
        <vt:i4>5</vt:i4>
      </vt:variant>
      <vt:variant>
        <vt:lpwstr/>
      </vt:variant>
      <vt:variant>
        <vt:lpwstr>_Toc529805650</vt:lpwstr>
      </vt:variant>
      <vt:variant>
        <vt:i4>1835066</vt:i4>
      </vt:variant>
      <vt:variant>
        <vt:i4>11</vt:i4>
      </vt:variant>
      <vt:variant>
        <vt:i4>0</vt:i4>
      </vt:variant>
      <vt:variant>
        <vt:i4>5</vt:i4>
      </vt:variant>
      <vt:variant>
        <vt:lpwstr/>
      </vt:variant>
      <vt:variant>
        <vt:lpwstr>_Toc529805649</vt:lpwstr>
      </vt:variant>
      <vt:variant>
        <vt:i4>2293874</vt:i4>
      </vt:variant>
      <vt:variant>
        <vt:i4>6</vt:i4>
      </vt:variant>
      <vt:variant>
        <vt:i4>0</vt:i4>
      </vt:variant>
      <vt:variant>
        <vt:i4>5</vt:i4>
      </vt:variant>
      <vt:variant>
        <vt:lpwstr>http://www.netpme.fr/business-plan/</vt:lpwstr>
      </vt:variant>
      <vt:variant>
        <vt:lpwstr/>
      </vt:variant>
      <vt:variant>
        <vt:i4>4718657</vt:i4>
      </vt:variant>
      <vt:variant>
        <vt:i4>3</vt:i4>
      </vt:variant>
      <vt:variant>
        <vt:i4>0</vt:i4>
      </vt:variant>
      <vt:variant>
        <vt:i4>5</vt:i4>
      </vt:variant>
      <vt:variant>
        <vt:lpwstr>http://www.contrats.biz/</vt:lpwstr>
      </vt:variant>
      <vt:variant>
        <vt:lpwstr/>
      </vt:variant>
      <vt:variant>
        <vt:i4>70</vt:i4>
      </vt:variant>
      <vt:variant>
        <vt:i4>0</vt:i4>
      </vt:variant>
      <vt:variant>
        <vt:i4>0</vt:i4>
      </vt:variant>
      <vt:variant>
        <vt:i4>5</vt:i4>
      </vt:variant>
      <vt:variant>
        <vt:lpwstr>http://www.netpme.fr/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EXAFI Business Plan</dc:title>
  <dc:subject>EXAFI Business Plan</dc:subject>
  <dc:creator>EXAFI</dc:creator>
  <cp:keywords>EXAFI Business Plan</cp:keywords>
  <dc:description>EXAFI Business Plan</dc:description>
  <cp:lastModifiedBy>Utilisateur Windows</cp:lastModifiedBy>
  <cp:revision>23</cp:revision>
  <cp:lastPrinted>2018-03-14T09:31:00Z</cp:lastPrinted>
  <dcterms:created xsi:type="dcterms:W3CDTF">2016-03-19T16:42:00Z</dcterms:created>
  <dcterms:modified xsi:type="dcterms:W3CDTF">2019-09-04T12:18:00Z</dcterms:modified>
  <cp:category>EXAFI Business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AFI">
    <vt:lpwstr>EXAFI</vt:lpwstr>
  </property>
</Properties>
</file>