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6092" w:rsidRPr="00284276" w:rsidRDefault="003D0C2A" w:rsidP="0083247C">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spacing w:before="120" w:after="120" w:line="240" w:lineRule="auto"/>
        <w:jc w:val="center"/>
        <w:rPr>
          <w:rStyle w:val="lev"/>
          <w:rFonts w:cs="Arial"/>
          <w:color w:val="FFFFFF" w:themeColor="background1"/>
          <w:sz w:val="26"/>
          <w:szCs w:val="26"/>
        </w:rPr>
      </w:pPr>
      <w:r w:rsidRPr="00284276">
        <w:rPr>
          <w:rFonts w:eastAsia="Times New Roman" w:cs="Times New Roman"/>
          <w:b/>
          <w:bCs/>
          <w:color w:val="FFFFFF" w:themeColor="background1"/>
          <w:kern w:val="36"/>
          <w:sz w:val="26"/>
          <w:szCs w:val="26"/>
          <w:lang w:eastAsia="fr-FR"/>
        </w:rPr>
        <w:t xml:space="preserve">Fonds de roulement </w:t>
      </w:r>
      <w:r w:rsidR="00286BF8">
        <w:rPr>
          <w:rFonts w:eastAsia="Times New Roman" w:cs="Times New Roman"/>
          <w:b/>
          <w:bCs/>
          <w:color w:val="FFFFFF" w:themeColor="background1"/>
          <w:kern w:val="36"/>
          <w:sz w:val="26"/>
          <w:szCs w:val="26"/>
          <w:lang w:eastAsia="fr-FR"/>
        </w:rPr>
        <w:t xml:space="preserve">(FR) </w:t>
      </w:r>
      <w:r w:rsidRPr="00284276">
        <w:rPr>
          <w:rFonts w:eastAsia="Times New Roman" w:cs="Times New Roman"/>
          <w:b/>
          <w:bCs/>
          <w:color w:val="FFFFFF" w:themeColor="background1"/>
          <w:kern w:val="36"/>
          <w:sz w:val="26"/>
          <w:szCs w:val="26"/>
          <w:lang w:eastAsia="fr-FR"/>
        </w:rPr>
        <w:t>: définition, calcul et interprétation</w:t>
      </w:r>
    </w:p>
    <w:p w:rsidR="00866092" w:rsidRPr="002A058C" w:rsidRDefault="00185DF1" w:rsidP="00185DF1">
      <w:pPr>
        <w:spacing w:before="100" w:beforeAutospacing="1" w:after="120" w:line="240" w:lineRule="auto"/>
        <w:jc w:val="both"/>
        <w:rPr>
          <w:rStyle w:val="lev"/>
          <w:rFonts w:cs="Arial"/>
          <w:color w:val="002060"/>
          <w:sz w:val="21"/>
          <w:szCs w:val="21"/>
        </w:rPr>
      </w:pPr>
      <w:r w:rsidRPr="002A058C">
        <w:rPr>
          <w:rStyle w:val="lev"/>
          <w:rFonts w:cs="Arial"/>
          <w:color w:val="002060"/>
          <w:sz w:val="21"/>
          <w:szCs w:val="21"/>
        </w:rPr>
        <w:t>Le concept d’équilibre financier minimum</w:t>
      </w:r>
    </w:p>
    <w:p w:rsidR="00185DF1" w:rsidRDefault="00185DF1" w:rsidP="00F931F1">
      <w:pPr>
        <w:spacing w:after="60" w:line="240" w:lineRule="auto"/>
        <w:jc w:val="both"/>
        <w:rPr>
          <w:rStyle w:val="lev"/>
          <w:rFonts w:cs="Arial"/>
          <w:b w:val="0"/>
          <w:color w:val="002060"/>
          <w:sz w:val="20"/>
          <w:szCs w:val="20"/>
        </w:rPr>
      </w:pPr>
      <w:r w:rsidRPr="00185DF1">
        <w:rPr>
          <w:rStyle w:val="lev"/>
          <w:rFonts w:cs="Arial"/>
          <w:b w:val="0"/>
          <w:color w:val="002060"/>
          <w:sz w:val="20"/>
          <w:szCs w:val="20"/>
        </w:rPr>
        <w:t>Le concept</w:t>
      </w:r>
      <w:r>
        <w:rPr>
          <w:rStyle w:val="lev"/>
          <w:rFonts w:cs="Arial"/>
          <w:b w:val="0"/>
          <w:color w:val="002060"/>
          <w:sz w:val="20"/>
          <w:szCs w:val="20"/>
        </w:rPr>
        <w:t xml:space="preserve"> d’équilibre financier minimum est basé sur l’observation suivante :</w:t>
      </w:r>
    </w:p>
    <w:p w:rsidR="00185DF1" w:rsidRDefault="00185DF1" w:rsidP="00F931F1">
      <w:pPr>
        <w:spacing w:after="60" w:line="240" w:lineRule="auto"/>
        <w:jc w:val="both"/>
        <w:rPr>
          <w:rStyle w:val="lev"/>
          <w:rFonts w:cs="Arial"/>
          <w:b w:val="0"/>
          <w:color w:val="002060"/>
          <w:sz w:val="20"/>
          <w:szCs w:val="20"/>
        </w:rPr>
      </w:pPr>
      <w:r>
        <w:rPr>
          <w:rStyle w:val="lev"/>
          <w:rFonts w:cs="Arial"/>
          <w:b w:val="0"/>
          <w:color w:val="002060"/>
          <w:sz w:val="20"/>
          <w:szCs w:val="20"/>
        </w:rPr>
        <w:t>Les investissements</w:t>
      </w:r>
      <w:r w:rsidR="00F931F1">
        <w:rPr>
          <w:rStyle w:val="lev"/>
          <w:rFonts w:cs="Arial"/>
          <w:b w:val="0"/>
          <w:color w:val="002060"/>
          <w:sz w:val="20"/>
          <w:szCs w:val="20"/>
        </w:rPr>
        <w:t>,</w:t>
      </w:r>
      <w:r>
        <w:rPr>
          <w:rStyle w:val="lev"/>
          <w:rFonts w:cs="Arial"/>
          <w:b w:val="0"/>
          <w:color w:val="002060"/>
          <w:sz w:val="20"/>
          <w:szCs w:val="20"/>
        </w:rPr>
        <w:t xml:space="preserve"> </w:t>
      </w:r>
      <w:r w:rsidR="00A718B2">
        <w:rPr>
          <w:rStyle w:val="lev"/>
          <w:rFonts w:cs="Arial"/>
          <w:b w:val="0"/>
          <w:color w:val="002060"/>
          <w:sz w:val="20"/>
          <w:szCs w:val="20"/>
        </w:rPr>
        <w:t xml:space="preserve">regroupés dans l’actif immobilisé </w:t>
      </w:r>
      <w:r>
        <w:rPr>
          <w:rStyle w:val="lev"/>
          <w:rFonts w:cs="Arial"/>
          <w:b w:val="0"/>
          <w:color w:val="002060"/>
          <w:sz w:val="20"/>
          <w:szCs w:val="20"/>
        </w:rPr>
        <w:t xml:space="preserve">(appelés également « emplois durables ») </w:t>
      </w:r>
      <w:r w:rsidR="00F931F1">
        <w:rPr>
          <w:rStyle w:val="lev"/>
          <w:rFonts w:cs="Arial"/>
          <w:b w:val="0"/>
          <w:color w:val="002060"/>
          <w:sz w:val="20"/>
          <w:szCs w:val="20"/>
        </w:rPr>
        <w:t xml:space="preserve">sont destinés à servir, </w:t>
      </w:r>
      <w:r w:rsidRPr="00F931F1">
        <w:rPr>
          <w:rStyle w:val="lev"/>
          <w:rFonts w:cs="Arial"/>
          <w:i/>
          <w:color w:val="002060"/>
          <w:sz w:val="20"/>
          <w:szCs w:val="20"/>
        </w:rPr>
        <w:t>pendant toute la durée de leur vie</w:t>
      </w:r>
      <w:r>
        <w:rPr>
          <w:rStyle w:val="lev"/>
          <w:rFonts w:cs="Arial"/>
          <w:b w:val="0"/>
          <w:color w:val="002060"/>
          <w:sz w:val="20"/>
          <w:szCs w:val="20"/>
        </w:rPr>
        <w:t>, à </w:t>
      </w:r>
      <w:r w:rsidR="00F931F1">
        <w:rPr>
          <w:rStyle w:val="lev"/>
          <w:rFonts w:cs="Arial"/>
          <w:b w:val="0"/>
          <w:color w:val="002060"/>
          <w:sz w:val="20"/>
          <w:szCs w:val="20"/>
        </w:rPr>
        <w:t>l’activité comme instruments de travail</w:t>
      </w:r>
      <w:r>
        <w:rPr>
          <w:rStyle w:val="lev"/>
          <w:rFonts w:cs="Arial"/>
          <w:b w:val="0"/>
          <w:color w:val="002060"/>
          <w:sz w:val="20"/>
          <w:szCs w:val="20"/>
        </w:rPr>
        <w:t>. Dès lors, il est logique de les financer par des capitaux (remboursables ou non) restant à la disposition de l’entreprise sur une période au moins équivalents à ces durées de vie.</w:t>
      </w:r>
    </w:p>
    <w:p w:rsidR="00F73F53" w:rsidRPr="00A718B2" w:rsidRDefault="00A718B2" w:rsidP="00F931F1">
      <w:pPr>
        <w:pStyle w:val="Retraitcorpsdetexte2"/>
        <w:spacing w:after="60" w:line="240" w:lineRule="auto"/>
        <w:ind w:firstLine="0"/>
        <w:rPr>
          <w:rFonts w:ascii="Calibri" w:hAnsi="Calibri"/>
          <w:color w:val="002060"/>
          <w:sz w:val="20"/>
        </w:rPr>
      </w:pPr>
      <w:r w:rsidRPr="00A718B2">
        <w:rPr>
          <w:rFonts w:ascii="Calibri" w:hAnsi="Calibri"/>
          <w:color w:val="002060"/>
          <w:sz w:val="20"/>
        </w:rPr>
        <w:t>Une</w:t>
      </w:r>
      <w:r w:rsidR="00A71788" w:rsidRPr="00A718B2">
        <w:rPr>
          <w:rFonts w:ascii="Calibri" w:hAnsi="Calibri"/>
          <w:color w:val="002060"/>
          <w:sz w:val="20"/>
        </w:rPr>
        <w:t xml:space="preserve"> règle</w:t>
      </w:r>
      <w:r w:rsidR="00F73F53" w:rsidRPr="00A718B2">
        <w:rPr>
          <w:rFonts w:ascii="Calibri" w:hAnsi="Calibri"/>
          <w:color w:val="002060"/>
          <w:sz w:val="20"/>
        </w:rPr>
        <w:t xml:space="preserve"> de simple bon sens</w:t>
      </w:r>
      <w:r w:rsidRPr="00A718B2">
        <w:rPr>
          <w:rFonts w:ascii="Calibri" w:hAnsi="Calibri"/>
          <w:color w:val="002060"/>
          <w:sz w:val="20"/>
        </w:rPr>
        <w:t xml:space="preserve"> et de prudence,</w:t>
      </w:r>
      <w:r w:rsidR="00F73F53" w:rsidRPr="00A718B2">
        <w:rPr>
          <w:rFonts w:ascii="Calibri" w:hAnsi="Calibri"/>
          <w:color w:val="002060"/>
          <w:sz w:val="20"/>
        </w:rPr>
        <w:t xml:space="preserve"> tel que l’appliquerait un ménage un peu avisé qui ne songerait pas à financer l’achat d’un aspirateur au moyen d’un prêt sur 15 ans ni à faire construire une maison avec un prêt bancaire sur 6 mois ! </w:t>
      </w:r>
    </w:p>
    <w:p w:rsidR="00185DF1" w:rsidRDefault="00185DF1" w:rsidP="00185DF1">
      <w:pPr>
        <w:spacing w:after="120" w:line="240" w:lineRule="auto"/>
        <w:jc w:val="both"/>
        <w:rPr>
          <w:rStyle w:val="lev"/>
          <w:rFonts w:cs="Arial"/>
          <w:b w:val="0"/>
          <w:color w:val="002060"/>
          <w:sz w:val="20"/>
          <w:szCs w:val="20"/>
        </w:rPr>
      </w:pPr>
      <w:r>
        <w:rPr>
          <w:rStyle w:val="lev"/>
          <w:rFonts w:cs="Arial"/>
          <w:b w:val="0"/>
          <w:color w:val="002060"/>
          <w:sz w:val="20"/>
          <w:szCs w:val="20"/>
        </w:rPr>
        <w:t xml:space="preserve">Cette </w:t>
      </w:r>
      <w:r w:rsidR="00F9293F">
        <w:rPr>
          <w:rStyle w:val="lev"/>
          <w:rFonts w:cs="Arial"/>
          <w:b w:val="0"/>
          <w:color w:val="002060"/>
          <w:sz w:val="20"/>
          <w:szCs w:val="20"/>
        </w:rPr>
        <w:t>règle</w:t>
      </w:r>
      <w:r>
        <w:rPr>
          <w:rStyle w:val="lev"/>
          <w:rFonts w:cs="Arial"/>
          <w:b w:val="0"/>
          <w:color w:val="002060"/>
          <w:sz w:val="20"/>
          <w:szCs w:val="20"/>
        </w:rPr>
        <w:t xml:space="preserve"> </w:t>
      </w:r>
      <w:r w:rsidR="00F9293F">
        <w:rPr>
          <w:rStyle w:val="lev"/>
          <w:rFonts w:cs="Arial"/>
          <w:b w:val="0"/>
          <w:color w:val="002060"/>
          <w:sz w:val="20"/>
          <w:szCs w:val="20"/>
        </w:rPr>
        <w:t>peut s’énoncer ainsi :</w:t>
      </w:r>
    </w:p>
    <w:tbl>
      <w:tblPr>
        <w:tblStyle w:val="Grilledutableau"/>
        <w:tblW w:w="0" w:type="auto"/>
        <w:tblInd w:w="1413" w:type="dxa"/>
        <w:tblLook w:val="04A0" w:firstRow="1" w:lastRow="0" w:firstColumn="1" w:lastColumn="0" w:noHBand="0" w:noVBand="1"/>
      </w:tblPr>
      <w:tblGrid>
        <w:gridCol w:w="7371"/>
      </w:tblGrid>
      <w:tr w:rsidR="00F9293F" w:rsidTr="00A718B2">
        <w:tc>
          <w:tcPr>
            <w:tcW w:w="7371" w:type="dxa"/>
            <w:shd w:val="clear" w:color="auto" w:fill="FFF2CC" w:themeFill="accent4" w:themeFillTint="33"/>
          </w:tcPr>
          <w:p w:rsidR="00F9293F" w:rsidRPr="00F9293F" w:rsidRDefault="00F9293F" w:rsidP="00F9293F">
            <w:pPr>
              <w:spacing w:before="120" w:after="120"/>
              <w:jc w:val="center"/>
              <w:rPr>
                <w:rStyle w:val="lev"/>
                <w:rFonts w:cs="Arial"/>
                <w:color w:val="002060"/>
                <w:sz w:val="20"/>
                <w:szCs w:val="20"/>
              </w:rPr>
            </w:pPr>
            <w:r w:rsidRPr="00F9293F">
              <w:rPr>
                <w:rStyle w:val="lev"/>
                <w:rFonts w:cs="Arial"/>
                <w:color w:val="002060"/>
                <w:sz w:val="24"/>
                <w:szCs w:val="20"/>
              </w:rPr>
              <w:t>L’actif immobilisé doit être financé par des capitaux permanents</w:t>
            </w:r>
          </w:p>
        </w:tc>
      </w:tr>
    </w:tbl>
    <w:p w:rsidR="00F9293F" w:rsidRDefault="00F9293F" w:rsidP="00A718B2">
      <w:pPr>
        <w:spacing w:after="0" w:line="240" w:lineRule="auto"/>
        <w:jc w:val="both"/>
        <w:rPr>
          <w:rStyle w:val="lev"/>
          <w:rFonts w:cs="Arial"/>
          <w:b w:val="0"/>
          <w:color w:val="002060"/>
          <w:sz w:val="20"/>
          <w:szCs w:val="20"/>
        </w:rPr>
      </w:pPr>
    </w:p>
    <w:p w:rsidR="00A718B2" w:rsidRDefault="00A718B2" w:rsidP="00DA3A88">
      <w:pPr>
        <w:spacing w:after="0" w:line="240" w:lineRule="auto"/>
        <w:jc w:val="center"/>
        <w:rPr>
          <w:rStyle w:val="lev"/>
          <w:rFonts w:cs="Arial"/>
          <w:color w:val="002060"/>
          <w:sz w:val="20"/>
          <w:szCs w:val="20"/>
        </w:rPr>
      </w:pPr>
      <w:r w:rsidRPr="00A718B2">
        <w:rPr>
          <w:rStyle w:val="lev"/>
          <w:b w:val="0"/>
          <w:bCs w:val="0"/>
          <w:noProof/>
          <w:lang w:eastAsia="fr-FR"/>
        </w:rPr>
        <w:drawing>
          <wp:inline distT="0" distB="0" distL="0" distR="0" wp14:anchorId="4CBBF741" wp14:editId="62096795">
            <wp:extent cx="4714875" cy="9620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14875" cy="962025"/>
                    </a:xfrm>
                    <a:prstGeom prst="rect">
                      <a:avLst/>
                    </a:prstGeom>
                    <a:noFill/>
                    <a:ln>
                      <a:noFill/>
                    </a:ln>
                  </pic:spPr>
                </pic:pic>
              </a:graphicData>
            </a:graphic>
          </wp:inline>
        </w:drawing>
      </w:r>
    </w:p>
    <w:p w:rsidR="00F9293F" w:rsidRPr="00F931F1" w:rsidRDefault="00F9293F" w:rsidP="00DA3A88">
      <w:pPr>
        <w:spacing w:before="120" w:after="60" w:line="240" w:lineRule="auto"/>
        <w:jc w:val="both"/>
        <w:rPr>
          <w:rStyle w:val="lev"/>
          <w:rFonts w:cs="Arial"/>
          <w:b w:val="0"/>
          <w:color w:val="002060"/>
          <w:sz w:val="20"/>
          <w:szCs w:val="20"/>
        </w:rPr>
      </w:pPr>
      <w:r w:rsidRPr="00F931F1">
        <w:rPr>
          <w:rStyle w:val="lev"/>
          <w:rFonts w:cs="Arial"/>
          <w:b w:val="0"/>
          <w:color w:val="002060"/>
          <w:sz w:val="20"/>
          <w:szCs w:val="20"/>
        </w:rPr>
        <w:t xml:space="preserve">Cependant, le strict respect de cette règle </w:t>
      </w:r>
      <w:r w:rsidRPr="00F931F1">
        <w:rPr>
          <w:rStyle w:val="lev"/>
          <w:rFonts w:cs="Arial"/>
          <w:color w:val="002060"/>
          <w:sz w:val="20"/>
          <w:szCs w:val="20"/>
        </w:rPr>
        <w:t>ne suffit pas</w:t>
      </w:r>
      <w:r w:rsidRPr="00F931F1">
        <w:rPr>
          <w:rStyle w:val="lev"/>
          <w:rFonts w:cs="Arial"/>
          <w:b w:val="0"/>
          <w:color w:val="002060"/>
          <w:sz w:val="20"/>
          <w:szCs w:val="20"/>
        </w:rPr>
        <w:t xml:space="preserve"> à garantir la liquidité de l’entreprise, c’est-à-dire son aptitude à régler ses dettes</w:t>
      </w:r>
    </w:p>
    <w:p w:rsidR="00A71788" w:rsidRDefault="00F73F53" w:rsidP="00371AF1">
      <w:pPr>
        <w:spacing w:after="60" w:line="240" w:lineRule="auto"/>
        <w:jc w:val="both"/>
        <w:rPr>
          <w:rStyle w:val="lev"/>
          <w:rFonts w:cs="Arial"/>
          <w:b w:val="0"/>
          <w:color w:val="002060"/>
          <w:sz w:val="20"/>
          <w:szCs w:val="20"/>
        </w:rPr>
      </w:pPr>
      <w:r>
        <w:rPr>
          <w:rStyle w:val="lev"/>
          <w:rFonts w:cs="Arial"/>
          <w:b w:val="0"/>
          <w:color w:val="002060"/>
          <w:sz w:val="20"/>
          <w:szCs w:val="20"/>
        </w:rPr>
        <w:t>Pourquoi ?</w:t>
      </w:r>
    </w:p>
    <w:p w:rsidR="00A71788" w:rsidRPr="00A71788" w:rsidRDefault="00A71788" w:rsidP="00A71788">
      <w:pPr>
        <w:spacing w:after="0" w:line="240" w:lineRule="auto"/>
        <w:ind w:right="-108"/>
        <w:jc w:val="both"/>
        <w:rPr>
          <w:rFonts w:ascii="Calibri" w:eastAsia="Times New Roman" w:hAnsi="Calibri" w:cs="Times New Roman"/>
          <w:color w:val="002060"/>
          <w:lang w:eastAsia="fr-FR"/>
        </w:rPr>
      </w:pPr>
      <w:r w:rsidRPr="00A71788">
        <w:rPr>
          <w:rFonts w:ascii="Calibri" w:eastAsia="Times New Roman" w:hAnsi="Calibri" w:cs="Times New Roman"/>
          <w:noProof/>
          <w:color w:val="002060"/>
          <w:lang w:eastAsia="fr-FR"/>
        </w:rPr>
        <mc:AlternateContent>
          <mc:Choice Requires="wps">
            <w:drawing>
              <wp:anchor distT="0" distB="0" distL="114300" distR="114300" simplePos="0" relativeHeight="251664384" behindDoc="0" locked="0" layoutInCell="1" allowOverlap="1" wp14:anchorId="36E01A82" wp14:editId="4E65AB6B">
                <wp:simplePos x="0" y="0"/>
                <wp:positionH relativeFrom="column">
                  <wp:posOffset>3343275</wp:posOffset>
                </wp:positionH>
                <wp:positionV relativeFrom="paragraph">
                  <wp:posOffset>85725</wp:posOffset>
                </wp:positionV>
                <wp:extent cx="504825" cy="0"/>
                <wp:effectExtent l="0" t="76200" r="9525" b="95250"/>
                <wp:wrapNone/>
                <wp:docPr id="21" name="Connecteur droit avec flèche 21"/>
                <wp:cNvGraphicFramePr/>
                <a:graphic xmlns:a="http://schemas.openxmlformats.org/drawingml/2006/main">
                  <a:graphicData uri="http://schemas.microsoft.com/office/word/2010/wordprocessingShape">
                    <wps:wsp>
                      <wps:cNvCnPr/>
                      <wps:spPr>
                        <a:xfrm>
                          <a:off x="0" y="0"/>
                          <a:ext cx="50482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037770D" id="_x0000_t32" coordsize="21600,21600" o:spt="32" o:oned="t" path="m,l21600,21600e" filled="f">
                <v:path arrowok="t" fillok="f" o:connecttype="none"/>
                <o:lock v:ext="edit" shapetype="t"/>
              </v:shapetype>
              <v:shape id="Connecteur droit avec flèche 21" o:spid="_x0000_s1026" type="#_x0000_t32" style="position:absolute;margin-left:263.25pt;margin-top:6.75pt;width:39.7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" strokecolor="#5b9bd5" strokeweight=".5pt">
                <v:stroke endarrow="block" joinstyle="miter"/>
              </v:shape>
            </w:pict>
          </mc:Fallback>
        </mc:AlternateContent>
      </w:r>
      <w:r w:rsidRPr="00A71788">
        <w:rPr>
          <w:rFonts w:ascii="Calibri" w:eastAsia="Times New Roman" w:hAnsi="Calibri" w:cs="Times New Roman"/>
          <w:noProof/>
          <w:color w:val="002060"/>
          <w:lang w:eastAsia="fr-FR"/>
        </w:rPr>
        <mc:AlternateContent>
          <mc:Choice Requires="wps">
            <w:drawing>
              <wp:anchor distT="0" distB="0" distL="114300" distR="114300" simplePos="0" relativeHeight="251663360" behindDoc="0" locked="0" layoutInCell="1" allowOverlap="1" wp14:anchorId="2D6DF892" wp14:editId="6EE5C490">
                <wp:simplePos x="0" y="0"/>
                <wp:positionH relativeFrom="column">
                  <wp:posOffset>2124075</wp:posOffset>
                </wp:positionH>
                <wp:positionV relativeFrom="paragraph">
                  <wp:posOffset>76200</wp:posOffset>
                </wp:positionV>
                <wp:extent cx="504825" cy="0"/>
                <wp:effectExtent l="0" t="76200" r="9525" b="95250"/>
                <wp:wrapNone/>
                <wp:docPr id="20" name="Connecteur droit avec flèche 20"/>
                <wp:cNvGraphicFramePr/>
                <a:graphic xmlns:a="http://schemas.openxmlformats.org/drawingml/2006/main">
                  <a:graphicData uri="http://schemas.microsoft.com/office/word/2010/wordprocessingShape">
                    <wps:wsp>
                      <wps:cNvCnPr/>
                      <wps:spPr>
                        <a:xfrm>
                          <a:off x="0" y="0"/>
                          <a:ext cx="50482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2ADF32B" id="Connecteur droit avec flèche 20" o:spid="_x0000_s1026" type="#_x0000_t32" style="position:absolute;margin-left:167.25pt;margin-top:6pt;width:39.7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" strokecolor="#5b9bd5" strokeweight=".5pt">
                <v:stroke endarrow="block" joinstyle="miter"/>
              </v:shape>
            </w:pict>
          </mc:Fallback>
        </mc:AlternateContent>
      </w:r>
      <w:r w:rsidRPr="00A71788">
        <w:rPr>
          <w:rFonts w:ascii="Calibri" w:eastAsia="Times New Roman" w:hAnsi="Calibri" w:cs="Times New Roman"/>
          <w:noProof/>
          <w:color w:val="002060"/>
          <w:lang w:eastAsia="fr-FR"/>
        </w:rPr>
        <mc:AlternateContent>
          <mc:Choice Requires="wps">
            <w:drawing>
              <wp:anchor distT="0" distB="0" distL="114300" distR="114300" simplePos="0" relativeHeight="251662336" behindDoc="0" locked="0" layoutInCell="1" allowOverlap="1" wp14:anchorId="32323A6B" wp14:editId="4BF7FA08">
                <wp:simplePos x="0" y="0"/>
                <wp:positionH relativeFrom="column">
                  <wp:posOffset>650240</wp:posOffset>
                </wp:positionH>
                <wp:positionV relativeFrom="paragraph">
                  <wp:posOffset>89535</wp:posOffset>
                </wp:positionV>
                <wp:extent cx="504825" cy="0"/>
                <wp:effectExtent l="0" t="76200" r="9525" b="95250"/>
                <wp:wrapNone/>
                <wp:docPr id="19" name="Connecteur droit avec flèche 19"/>
                <wp:cNvGraphicFramePr/>
                <a:graphic xmlns:a="http://schemas.openxmlformats.org/drawingml/2006/main">
                  <a:graphicData uri="http://schemas.microsoft.com/office/word/2010/wordprocessingShape">
                    <wps:wsp>
                      <wps:cNvCnPr/>
                      <wps:spPr>
                        <a:xfrm>
                          <a:off x="0" y="0"/>
                          <a:ext cx="504825" cy="0"/>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5C4DA2B" id="Connecteur droit avec flèche 19" o:spid="_x0000_s1026" type="#_x0000_t32" style="position:absolute;margin-left:51.2pt;margin-top:7.05pt;width:39.7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" strokecolor="#5b9bd5" strokeweight=".5pt">
                <v:stroke endarrow="block" joinstyle="miter"/>
              </v:shape>
            </w:pict>
          </mc:Fallback>
        </mc:AlternateContent>
      </w:r>
      <w:r w:rsidRPr="00A71788">
        <w:rPr>
          <w:rFonts w:ascii="Calibri" w:eastAsia="Times New Roman" w:hAnsi="Calibri" w:cs="Times New Roman"/>
          <w:noProof/>
          <w:color w:val="002060"/>
          <w:lang w:eastAsia="fr-FR"/>
        </w:rPr>
        <mc:AlternateContent>
          <mc:Choice Requires="wps">
            <w:drawing>
              <wp:anchor distT="0" distB="0" distL="114300" distR="114300" simplePos="0" relativeHeight="251659264" behindDoc="0" locked="0" layoutInCell="1" allowOverlap="1" wp14:anchorId="3D6A9A2B" wp14:editId="3DA9409C">
                <wp:simplePos x="0" y="0"/>
                <wp:positionH relativeFrom="column">
                  <wp:posOffset>457200</wp:posOffset>
                </wp:positionH>
                <wp:positionV relativeFrom="paragraph">
                  <wp:posOffset>147320</wp:posOffset>
                </wp:positionV>
                <wp:extent cx="342900" cy="135890"/>
                <wp:effectExtent l="0" t="0" r="57150" b="73660"/>
                <wp:wrapNone/>
                <wp:docPr id="1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3589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49EBA71"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1.6pt" to="63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" strokecolor="red">
                <v:stroke endarrow="block"/>
              </v:line>
            </w:pict>
          </mc:Fallback>
        </mc:AlternateContent>
      </w:r>
      <w:r w:rsidRPr="00A71788">
        <w:rPr>
          <w:rFonts w:ascii="Calibri" w:eastAsia="Times New Roman" w:hAnsi="Calibri" w:cs="Times New Roman"/>
          <w:color w:val="002060"/>
          <w:lang w:eastAsia="fr-FR"/>
        </w:rPr>
        <w:t xml:space="preserve">Achats </w:t>
      </w:r>
      <w:r w:rsidRPr="00A71788">
        <w:rPr>
          <w:rFonts w:ascii="Calibri" w:eastAsia="Times New Roman" w:hAnsi="Calibri" w:cs="Times New Roman"/>
          <w:color w:val="002060"/>
          <w:lang w:eastAsia="fr-FR"/>
        </w:rPr>
        <w:tab/>
      </w:r>
      <w:r w:rsidRPr="00A71788">
        <w:rPr>
          <w:rFonts w:ascii="Calibri" w:eastAsia="Times New Roman" w:hAnsi="Calibri" w:cs="Times New Roman"/>
          <w:color w:val="002060"/>
          <w:lang w:eastAsia="fr-FR"/>
        </w:rPr>
        <w:tab/>
      </w:r>
      <w:r w:rsidRPr="00A71788">
        <w:rPr>
          <w:rFonts w:ascii="Calibri" w:eastAsia="Times New Roman" w:hAnsi="Calibri" w:cs="Times New Roman"/>
          <w:color w:val="002060"/>
          <w:lang w:eastAsia="fr-FR"/>
        </w:rPr>
        <w:tab/>
        <w:t>Production</w:t>
      </w:r>
      <w:r w:rsidRPr="00A71788">
        <w:rPr>
          <w:rFonts w:ascii="Calibri" w:eastAsia="Times New Roman" w:hAnsi="Calibri" w:cs="Times New Roman"/>
          <w:color w:val="002060"/>
          <w:lang w:eastAsia="fr-FR"/>
        </w:rPr>
        <w:tab/>
      </w:r>
      <w:r w:rsidRPr="00A71788">
        <w:rPr>
          <w:rFonts w:ascii="Calibri" w:eastAsia="Times New Roman" w:hAnsi="Calibri" w:cs="Times New Roman"/>
          <w:color w:val="002060"/>
          <w:lang w:eastAsia="fr-FR"/>
        </w:rPr>
        <w:tab/>
        <w:t xml:space="preserve">Stockage </w:t>
      </w:r>
      <w:r w:rsidRPr="00A71788">
        <w:rPr>
          <w:rFonts w:ascii="Calibri" w:eastAsia="Times New Roman" w:hAnsi="Calibri" w:cs="Times New Roman"/>
          <w:color w:val="002060"/>
          <w:lang w:eastAsia="fr-FR"/>
        </w:rPr>
        <w:tab/>
      </w:r>
      <w:r w:rsidRPr="00A71788">
        <w:rPr>
          <w:rFonts w:ascii="Calibri" w:eastAsia="Times New Roman" w:hAnsi="Calibri" w:cs="Times New Roman"/>
          <w:color w:val="002060"/>
          <w:lang w:eastAsia="fr-FR"/>
        </w:rPr>
        <w:tab/>
        <w:t>Livraisons-ventes</w:t>
      </w:r>
    </w:p>
    <w:p w:rsidR="00A71788" w:rsidRPr="00A71788" w:rsidRDefault="00A71788" w:rsidP="00A71788">
      <w:pPr>
        <w:spacing w:after="0" w:line="240" w:lineRule="auto"/>
        <w:ind w:right="-108"/>
        <w:jc w:val="both"/>
        <w:rPr>
          <w:rFonts w:ascii="Calibri" w:eastAsia="Times New Roman" w:hAnsi="Calibri" w:cs="Times New Roman"/>
          <w:color w:val="002060"/>
          <w:lang w:eastAsia="fr-FR"/>
        </w:rPr>
      </w:pPr>
      <w:r w:rsidRPr="00A71788">
        <w:rPr>
          <w:rFonts w:ascii="Calibri" w:eastAsia="Times New Roman" w:hAnsi="Calibri" w:cs="Times New Roman"/>
          <w:noProof/>
          <w:color w:val="002060"/>
          <w:lang w:eastAsia="fr-FR"/>
        </w:rPr>
        <mc:AlternateContent>
          <mc:Choice Requires="wps">
            <w:drawing>
              <wp:anchor distT="0" distB="0" distL="114300" distR="114300" simplePos="0" relativeHeight="251661312" behindDoc="0" locked="0" layoutInCell="1" allowOverlap="1" wp14:anchorId="0CFD078D" wp14:editId="621755CE">
                <wp:simplePos x="0" y="0"/>
                <wp:positionH relativeFrom="column">
                  <wp:posOffset>4686300</wp:posOffset>
                </wp:positionH>
                <wp:positionV relativeFrom="paragraph">
                  <wp:posOffset>8255</wp:posOffset>
                </wp:positionV>
                <wp:extent cx="342900" cy="114300"/>
                <wp:effectExtent l="0" t="0" r="57150" b="76200"/>
                <wp:wrapNone/>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14300"/>
                        </a:xfrm>
                        <a:prstGeom prst="line">
                          <a:avLst/>
                        </a:prstGeom>
                        <a:noFill/>
                        <a:ln w="9525">
                          <a:solidFill>
                            <a:srgbClr val="0000CC"/>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ED92BF6" id="Line 1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65pt" to="39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LCjLAIAAFA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" strokecolor="#00c">
                <v:stroke endarrow="block"/>
              </v:line>
            </w:pict>
          </mc:Fallback>
        </mc:AlternateContent>
      </w:r>
      <w:r w:rsidRPr="00A71788">
        <w:rPr>
          <w:rFonts w:ascii="Calibri" w:eastAsia="Times New Roman" w:hAnsi="Calibri" w:cs="Times New Roman"/>
          <w:noProof/>
          <w:color w:val="002060"/>
          <w:lang w:eastAsia="fr-FR"/>
        </w:rPr>
        <mc:AlternateContent>
          <mc:Choice Requires="wps">
            <w:drawing>
              <wp:anchor distT="0" distB="0" distL="114300" distR="114300" simplePos="0" relativeHeight="251660288" behindDoc="0" locked="0" layoutInCell="1" allowOverlap="1" wp14:anchorId="3443B8C5" wp14:editId="25143DDA">
                <wp:simplePos x="0" y="0"/>
                <wp:positionH relativeFrom="column">
                  <wp:posOffset>1943100</wp:posOffset>
                </wp:positionH>
                <wp:positionV relativeFrom="paragraph">
                  <wp:posOffset>8255</wp:posOffset>
                </wp:positionV>
                <wp:extent cx="457200" cy="114300"/>
                <wp:effectExtent l="0" t="0" r="76200" b="7620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1143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9CE274C" id="Line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65pt" to="189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" strokecolor="red">
                <v:stroke endarrow="block"/>
              </v:line>
            </w:pict>
          </mc:Fallback>
        </mc:AlternateContent>
      </w:r>
    </w:p>
    <w:p w:rsidR="00A71788" w:rsidRPr="00A71788" w:rsidRDefault="00A71788" w:rsidP="00A71788">
      <w:pPr>
        <w:spacing w:after="0" w:line="240" w:lineRule="auto"/>
        <w:ind w:right="-108"/>
        <w:jc w:val="both"/>
        <w:rPr>
          <w:rFonts w:ascii="Calibri" w:eastAsia="Times New Roman" w:hAnsi="Calibri" w:cs="Times New Roman"/>
          <w:color w:val="002060"/>
          <w:lang w:eastAsia="fr-FR"/>
        </w:rPr>
      </w:pPr>
      <w:r w:rsidRPr="00A71788">
        <w:rPr>
          <w:rFonts w:ascii="Calibri" w:eastAsia="Times New Roman" w:hAnsi="Calibri" w:cs="Times New Roman"/>
          <w:color w:val="002060"/>
          <w:lang w:eastAsia="fr-FR"/>
        </w:rPr>
        <w:tab/>
      </w:r>
      <w:r w:rsidRPr="00A71788">
        <w:rPr>
          <w:rFonts w:ascii="Calibri" w:eastAsia="Times New Roman" w:hAnsi="Calibri" w:cs="Times New Roman"/>
          <w:color w:val="FF0000"/>
          <w:lang w:eastAsia="fr-FR"/>
        </w:rPr>
        <w:t>Paiement</w:t>
      </w:r>
      <w:r w:rsidRPr="00A71788">
        <w:rPr>
          <w:rFonts w:ascii="Calibri" w:eastAsia="Times New Roman" w:hAnsi="Calibri" w:cs="Times New Roman"/>
          <w:color w:val="002060"/>
          <w:lang w:eastAsia="fr-FR"/>
        </w:rPr>
        <w:tab/>
      </w:r>
      <w:r w:rsidRPr="00A71788">
        <w:rPr>
          <w:rFonts w:ascii="Calibri" w:eastAsia="Times New Roman" w:hAnsi="Calibri" w:cs="Times New Roman"/>
          <w:color w:val="002060"/>
          <w:lang w:eastAsia="fr-FR"/>
        </w:rPr>
        <w:tab/>
      </w:r>
      <w:r w:rsidRPr="00A71788">
        <w:rPr>
          <w:rFonts w:ascii="Calibri" w:eastAsia="Times New Roman" w:hAnsi="Calibri" w:cs="Times New Roman"/>
          <w:color w:val="002060"/>
          <w:lang w:eastAsia="fr-FR"/>
        </w:rPr>
        <w:tab/>
      </w:r>
      <w:proofErr w:type="spellStart"/>
      <w:r w:rsidRPr="00A71788">
        <w:rPr>
          <w:rFonts w:ascii="Calibri" w:eastAsia="Times New Roman" w:hAnsi="Calibri" w:cs="Times New Roman"/>
          <w:color w:val="FF0000"/>
          <w:lang w:eastAsia="fr-FR"/>
        </w:rPr>
        <w:t>Paiement</w:t>
      </w:r>
      <w:proofErr w:type="spellEnd"/>
      <w:r w:rsidRPr="00A71788">
        <w:rPr>
          <w:rFonts w:ascii="Calibri" w:eastAsia="Times New Roman" w:hAnsi="Calibri" w:cs="Times New Roman"/>
          <w:color w:val="002060"/>
          <w:lang w:eastAsia="fr-FR"/>
        </w:rPr>
        <w:tab/>
      </w:r>
      <w:r w:rsidRPr="00A71788">
        <w:rPr>
          <w:rFonts w:ascii="Calibri" w:eastAsia="Times New Roman" w:hAnsi="Calibri" w:cs="Times New Roman"/>
          <w:color w:val="002060"/>
          <w:lang w:eastAsia="fr-FR"/>
        </w:rPr>
        <w:tab/>
      </w:r>
      <w:r w:rsidRPr="00A71788">
        <w:rPr>
          <w:rFonts w:ascii="Calibri" w:eastAsia="Times New Roman" w:hAnsi="Calibri" w:cs="Times New Roman"/>
          <w:color w:val="002060"/>
          <w:lang w:eastAsia="fr-FR"/>
        </w:rPr>
        <w:tab/>
      </w:r>
      <w:r w:rsidRPr="00A71788">
        <w:rPr>
          <w:rFonts w:ascii="Calibri" w:eastAsia="Times New Roman" w:hAnsi="Calibri" w:cs="Times New Roman"/>
          <w:color w:val="002060"/>
          <w:lang w:eastAsia="fr-FR"/>
        </w:rPr>
        <w:tab/>
      </w:r>
      <w:r w:rsidRPr="00A71788">
        <w:rPr>
          <w:rFonts w:ascii="Calibri" w:eastAsia="Times New Roman" w:hAnsi="Calibri" w:cs="Times New Roman"/>
          <w:color w:val="002060"/>
          <w:lang w:eastAsia="fr-FR"/>
        </w:rPr>
        <w:tab/>
      </w:r>
      <w:r w:rsidRPr="00A71788">
        <w:rPr>
          <w:rFonts w:ascii="Calibri" w:eastAsia="Times New Roman" w:hAnsi="Calibri" w:cs="Times New Roman"/>
          <w:color w:val="0000CC"/>
          <w:lang w:eastAsia="fr-FR"/>
        </w:rPr>
        <w:t>Encaissement</w:t>
      </w:r>
    </w:p>
    <w:p w:rsidR="00F9293F" w:rsidRPr="00371AF1" w:rsidRDefault="00A71788" w:rsidP="00371AF1">
      <w:pPr>
        <w:spacing w:after="0" w:line="240" w:lineRule="auto"/>
        <w:ind w:right="-108"/>
        <w:jc w:val="both"/>
        <w:rPr>
          <w:rStyle w:val="lev"/>
          <w:rFonts w:ascii="Calibri" w:eastAsia="Times New Roman" w:hAnsi="Calibri" w:cs="Times New Roman"/>
          <w:b w:val="0"/>
          <w:bCs w:val="0"/>
          <w:color w:val="002060"/>
          <w:lang w:eastAsia="fr-FR"/>
        </w:rPr>
      </w:pPr>
      <w:r w:rsidRPr="00A71788">
        <w:rPr>
          <w:rFonts w:ascii="Calibri" w:eastAsia="Times New Roman" w:hAnsi="Calibri" w:cs="Times New Roman"/>
          <w:color w:val="002060"/>
          <w:lang w:eastAsia="fr-FR"/>
        </w:rPr>
        <w:tab/>
      </w:r>
      <w:proofErr w:type="gramStart"/>
      <w:r w:rsidRPr="00A71788">
        <w:rPr>
          <w:rFonts w:ascii="Calibri" w:eastAsia="Times New Roman" w:hAnsi="Calibri" w:cs="Times New Roman"/>
          <w:color w:val="FF0000"/>
          <w:lang w:eastAsia="fr-FR"/>
        </w:rPr>
        <w:t>des</w:t>
      </w:r>
      <w:proofErr w:type="gramEnd"/>
      <w:r w:rsidRPr="00A71788">
        <w:rPr>
          <w:rFonts w:ascii="Calibri" w:eastAsia="Times New Roman" w:hAnsi="Calibri" w:cs="Times New Roman"/>
          <w:color w:val="FF0000"/>
          <w:lang w:eastAsia="fr-FR"/>
        </w:rPr>
        <w:t xml:space="preserve"> achats</w:t>
      </w:r>
      <w:r w:rsidRPr="00A71788">
        <w:rPr>
          <w:rFonts w:ascii="Calibri" w:eastAsia="Times New Roman" w:hAnsi="Calibri" w:cs="Times New Roman"/>
          <w:color w:val="002060"/>
          <w:lang w:eastAsia="fr-FR"/>
        </w:rPr>
        <w:tab/>
      </w:r>
      <w:r w:rsidRPr="00A71788">
        <w:rPr>
          <w:rFonts w:ascii="Calibri" w:eastAsia="Times New Roman" w:hAnsi="Calibri" w:cs="Times New Roman"/>
          <w:color w:val="002060"/>
          <w:lang w:eastAsia="fr-FR"/>
        </w:rPr>
        <w:tab/>
      </w:r>
      <w:r w:rsidRPr="00A71788">
        <w:rPr>
          <w:rFonts w:ascii="Calibri" w:eastAsia="Times New Roman" w:hAnsi="Calibri" w:cs="Times New Roman"/>
          <w:color w:val="002060"/>
          <w:lang w:eastAsia="fr-FR"/>
        </w:rPr>
        <w:tab/>
      </w:r>
      <w:r w:rsidRPr="00A71788">
        <w:rPr>
          <w:rFonts w:ascii="Calibri" w:eastAsia="Times New Roman" w:hAnsi="Calibri" w:cs="Times New Roman"/>
          <w:color w:val="FF0000"/>
          <w:lang w:eastAsia="fr-FR"/>
        </w:rPr>
        <w:t>des salaires</w:t>
      </w:r>
      <w:r w:rsidRPr="00A71788">
        <w:rPr>
          <w:rFonts w:ascii="Calibri" w:eastAsia="Times New Roman" w:hAnsi="Calibri" w:cs="Times New Roman"/>
          <w:color w:val="002060"/>
          <w:lang w:eastAsia="fr-FR"/>
        </w:rPr>
        <w:tab/>
      </w:r>
      <w:r w:rsidRPr="00A71788">
        <w:rPr>
          <w:rFonts w:ascii="Calibri" w:eastAsia="Times New Roman" w:hAnsi="Calibri" w:cs="Times New Roman"/>
          <w:color w:val="002060"/>
          <w:lang w:eastAsia="fr-FR"/>
        </w:rPr>
        <w:tab/>
      </w:r>
      <w:r w:rsidRPr="00A71788">
        <w:rPr>
          <w:rFonts w:ascii="Calibri" w:eastAsia="Times New Roman" w:hAnsi="Calibri" w:cs="Times New Roman"/>
          <w:color w:val="002060"/>
          <w:lang w:eastAsia="fr-FR"/>
        </w:rPr>
        <w:tab/>
      </w:r>
      <w:r w:rsidRPr="00A71788">
        <w:rPr>
          <w:rFonts w:ascii="Calibri" w:eastAsia="Times New Roman" w:hAnsi="Calibri" w:cs="Times New Roman"/>
          <w:color w:val="002060"/>
          <w:lang w:eastAsia="fr-FR"/>
        </w:rPr>
        <w:tab/>
      </w:r>
      <w:r w:rsidRPr="00A71788">
        <w:rPr>
          <w:rFonts w:ascii="Calibri" w:eastAsia="Times New Roman" w:hAnsi="Calibri" w:cs="Times New Roman"/>
          <w:color w:val="002060"/>
          <w:lang w:eastAsia="fr-FR"/>
        </w:rPr>
        <w:tab/>
      </w:r>
      <w:r w:rsidRPr="00A71788">
        <w:rPr>
          <w:rFonts w:ascii="Calibri" w:eastAsia="Times New Roman" w:hAnsi="Calibri" w:cs="Times New Roman"/>
          <w:color w:val="0000CC"/>
          <w:lang w:eastAsia="fr-FR"/>
        </w:rPr>
        <w:t>des ventes</w:t>
      </w:r>
    </w:p>
    <w:p w:rsidR="00CF3617" w:rsidRDefault="00371AF1" w:rsidP="00DF152A">
      <w:pPr>
        <w:spacing w:before="60" w:after="60" w:line="240" w:lineRule="auto"/>
        <w:jc w:val="both"/>
        <w:rPr>
          <w:rFonts w:eastAsia="Times New Roman" w:cs="Times New Roman"/>
          <w:color w:val="002060"/>
          <w:sz w:val="20"/>
          <w:szCs w:val="20"/>
          <w:lang w:eastAsia="fr-FR"/>
        </w:rPr>
      </w:pPr>
      <w:r>
        <w:rPr>
          <w:rFonts w:eastAsia="Times New Roman" w:cs="Times New Roman"/>
          <w:color w:val="002060"/>
          <w:sz w:val="20"/>
          <w:szCs w:val="20"/>
          <w:lang w:eastAsia="fr-FR"/>
        </w:rPr>
        <w:t>Ce schéma nous montre qu’a</w:t>
      </w:r>
      <w:r w:rsidR="00CF3617" w:rsidRPr="003E5403">
        <w:rPr>
          <w:rFonts w:eastAsia="Times New Roman" w:cs="Times New Roman"/>
          <w:color w:val="002060"/>
          <w:sz w:val="20"/>
          <w:szCs w:val="20"/>
          <w:lang w:eastAsia="fr-FR"/>
        </w:rPr>
        <w:t xml:space="preserve">vant de produire quoique ce soit, </w:t>
      </w:r>
      <w:r w:rsidR="00CF3617">
        <w:rPr>
          <w:rFonts w:eastAsia="Times New Roman" w:cs="Times New Roman"/>
          <w:color w:val="002060"/>
          <w:sz w:val="20"/>
          <w:szCs w:val="20"/>
          <w:lang w:eastAsia="fr-FR"/>
        </w:rPr>
        <w:t xml:space="preserve">l’entreprise </w:t>
      </w:r>
      <w:r w:rsidR="00CF3617" w:rsidRPr="003E5403">
        <w:rPr>
          <w:rFonts w:eastAsia="Times New Roman" w:cs="Times New Roman"/>
          <w:color w:val="002060"/>
          <w:sz w:val="20"/>
          <w:szCs w:val="20"/>
          <w:lang w:eastAsia="fr-FR"/>
        </w:rPr>
        <w:t>doit décaisser de l'argent pour acheter des matières premières</w:t>
      </w:r>
      <w:r w:rsidR="00CF3617">
        <w:rPr>
          <w:rFonts w:eastAsia="Times New Roman" w:cs="Times New Roman"/>
          <w:color w:val="002060"/>
          <w:sz w:val="20"/>
          <w:szCs w:val="20"/>
          <w:lang w:eastAsia="fr-FR"/>
        </w:rPr>
        <w:t xml:space="preserve"> ou des marchandises</w:t>
      </w:r>
      <w:r w:rsidR="00CF3617" w:rsidRPr="003E5403">
        <w:rPr>
          <w:rFonts w:eastAsia="Times New Roman" w:cs="Times New Roman"/>
          <w:color w:val="002060"/>
          <w:sz w:val="20"/>
          <w:szCs w:val="20"/>
          <w:lang w:eastAsia="fr-FR"/>
        </w:rPr>
        <w:t xml:space="preserve">, puis payer des services et des salariés pour </w:t>
      </w:r>
      <w:r w:rsidR="007A61D9">
        <w:rPr>
          <w:rFonts w:eastAsia="Times New Roman" w:cs="Times New Roman"/>
          <w:color w:val="002060"/>
          <w:sz w:val="20"/>
          <w:szCs w:val="20"/>
          <w:lang w:eastAsia="fr-FR"/>
        </w:rPr>
        <w:t>réaliser</w:t>
      </w:r>
      <w:r w:rsidR="00CF3617" w:rsidRPr="003E5403">
        <w:rPr>
          <w:rFonts w:eastAsia="Times New Roman" w:cs="Times New Roman"/>
          <w:color w:val="002060"/>
          <w:sz w:val="20"/>
          <w:szCs w:val="20"/>
          <w:lang w:eastAsia="fr-FR"/>
        </w:rPr>
        <w:t xml:space="preserve"> sa production. Ce n'est qu'après cela qu'elle pourra espérer vendre sa production </w:t>
      </w:r>
      <w:r w:rsidR="00CF3617">
        <w:rPr>
          <w:rFonts w:eastAsia="Times New Roman" w:cs="Times New Roman"/>
          <w:color w:val="002060"/>
          <w:sz w:val="20"/>
          <w:szCs w:val="20"/>
          <w:lang w:eastAsia="fr-FR"/>
        </w:rPr>
        <w:t xml:space="preserve">de biens ou de services. </w:t>
      </w:r>
    </w:p>
    <w:p w:rsidR="00EE60AB" w:rsidRDefault="00EE60AB" w:rsidP="00DF152A">
      <w:pPr>
        <w:spacing w:before="60" w:after="60" w:line="240" w:lineRule="auto"/>
        <w:jc w:val="both"/>
        <w:rPr>
          <w:rFonts w:eastAsia="Times New Roman" w:cs="Times New Roman"/>
          <w:color w:val="002060"/>
          <w:sz w:val="20"/>
          <w:szCs w:val="20"/>
          <w:lang w:eastAsia="fr-FR"/>
        </w:rPr>
      </w:pPr>
      <w:r>
        <w:rPr>
          <w:rFonts w:eastAsia="Times New Roman" w:cs="Times New Roman"/>
          <w:color w:val="002060"/>
          <w:sz w:val="20"/>
          <w:szCs w:val="20"/>
          <w:lang w:eastAsia="fr-FR"/>
        </w:rPr>
        <w:t xml:space="preserve">Autrement dit, </w:t>
      </w:r>
      <w:r w:rsidRPr="00EE60AB">
        <w:rPr>
          <w:rFonts w:ascii="Calibri" w:eastAsia="Times New Roman" w:hAnsi="Calibri" w:cs="Times New Roman"/>
          <w:color w:val="002060"/>
          <w:sz w:val="20"/>
          <w:szCs w:val="20"/>
          <w:lang w:eastAsia="fr-FR"/>
        </w:rPr>
        <w:t xml:space="preserve"> </w:t>
      </w:r>
      <w:r w:rsidRPr="00866092">
        <w:rPr>
          <w:rFonts w:ascii="Calibri" w:eastAsia="Times New Roman" w:hAnsi="Calibri" w:cs="Times New Roman"/>
          <w:color w:val="002060"/>
          <w:sz w:val="20"/>
          <w:szCs w:val="20"/>
          <w:lang w:eastAsia="fr-FR"/>
        </w:rPr>
        <w:t>tous les éléments de l’actif circulant (stock, créances clients), ne se transforment pas en argent disponible aussi rapidement que les dettes à court terme (</w:t>
      </w:r>
      <w:r>
        <w:rPr>
          <w:rFonts w:ascii="Calibri" w:eastAsia="Times New Roman" w:hAnsi="Calibri" w:cs="Times New Roman"/>
          <w:color w:val="002060"/>
          <w:sz w:val="20"/>
          <w:szCs w:val="20"/>
          <w:lang w:eastAsia="fr-FR"/>
        </w:rPr>
        <w:t xml:space="preserve">salaires, </w:t>
      </w:r>
      <w:r w:rsidRPr="00866092">
        <w:rPr>
          <w:rFonts w:ascii="Calibri" w:eastAsia="Times New Roman" w:hAnsi="Calibri" w:cs="Times New Roman"/>
          <w:color w:val="002060"/>
          <w:sz w:val="20"/>
          <w:szCs w:val="20"/>
          <w:lang w:eastAsia="fr-FR"/>
        </w:rPr>
        <w:t>dettes fournisseurs</w:t>
      </w:r>
      <w:r>
        <w:rPr>
          <w:rFonts w:ascii="Calibri" w:eastAsia="Times New Roman" w:hAnsi="Calibri" w:cs="Times New Roman"/>
          <w:color w:val="002060"/>
          <w:sz w:val="20"/>
          <w:szCs w:val="20"/>
          <w:lang w:eastAsia="fr-FR"/>
        </w:rPr>
        <w:t>, dettes fiscales et sociales</w:t>
      </w:r>
      <w:r w:rsidRPr="00866092">
        <w:rPr>
          <w:rFonts w:ascii="Calibri" w:eastAsia="Times New Roman" w:hAnsi="Calibri" w:cs="Times New Roman"/>
          <w:color w:val="002060"/>
          <w:sz w:val="20"/>
          <w:szCs w:val="20"/>
          <w:lang w:eastAsia="fr-FR"/>
        </w:rPr>
        <w:t>) deviennent exigibles. Il existe que très exceptionnellement un parallélisme absolu entre les échéances respecti</w:t>
      </w:r>
      <w:r w:rsidR="00F931F1">
        <w:rPr>
          <w:rFonts w:ascii="Calibri" w:eastAsia="Times New Roman" w:hAnsi="Calibri" w:cs="Times New Roman"/>
          <w:color w:val="002060"/>
          <w:sz w:val="20"/>
          <w:szCs w:val="20"/>
          <w:lang w:eastAsia="fr-FR"/>
        </w:rPr>
        <w:t>ves des dettes et des créances.</w:t>
      </w:r>
    </w:p>
    <w:p w:rsidR="00CF3617" w:rsidRDefault="00CF3617" w:rsidP="00DF152A">
      <w:pPr>
        <w:spacing w:after="60" w:line="240" w:lineRule="auto"/>
        <w:jc w:val="both"/>
        <w:rPr>
          <w:rFonts w:eastAsia="Times New Roman" w:cs="Times New Roman"/>
          <w:color w:val="002060"/>
          <w:sz w:val="20"/>
          <w:szCs w:val="20"/>
          <w:lang w:eastAsia="fr-FR"/>
        </w:rPr>
      </w:pPr>
      <w:r w:rsidRPr="003E5403">
        <w:rPr>
          <w:rFonts w:eastAsia="Times New Roman" w:cs="Times New Roman"/>
          <w:color w:val="002060"/>
          <w:sz w:val="20"/>
          <w:szCs w:val="20"/>
          <w:lang w:eastAsia="fr-FR"/>
        </w:rPr>
        <w:t xml:space="preserve">Il résultera donc un </w:t>
      </w:r>
      <w:r w:rsidRPr="003E5403">
        <w:rPr>
          <w:rFonts w:eastAsia="Times New Roman" w:cs="Times New Roman"/>
          <w:b/>
          <w:bCs/>
          <w:color w:val="002060"/>
          <w:sz w:val="20"/>
          <w:szCs w:val="20"/>
          <w:lang w:eastAsia="fr-FR"/>
        </w:rPr>
        <w:t>décalage</w:t>
      </w:r>
      <w:r w:rsidR="007676F3">
        <w:rPr>
          <w:rFonts w:eastAsia="Times New Roman" w:cs="Times New Roman"/>
          <w:color w:val="002060"/>
          <w:sz w:val="20"/>
          <w:szCs w:val="20"/>
          <w:lang w:eastAsia="fr-FR"/>
        </w:rPr>
        <w:t xml:space="preserve"> entre les dépenses et les recettes d’exploitation</w:t>
      </w:r>
      <w:r w:rsidRPr="003E5403">
        <w:rPr>
          <w:rFonts w:eastAsia="Times New Roman" w:cs="Times New Roman"/>
          <w:color w:val="002060"/>
          <w:sz w:val="20"/>
          <w:szCs w:val="20"/>
          <w:lang w:eastAsia="fr-FR"/>
        </w:rPr>
        <w:t>.</w:t>
      </w:r>
      <w:r w:rsidR="007676F3">
        <w:rPr>
          <w:rFonts w:eastAsia="Times New Roman" w:cs="Times New Roman"/>
          <w:color w:val="002060"/>
          <w:sz w:val="20"/>
          <w:szCs w:val="20"/>
          <w:lang w:eastAsia="fr-FR"/>
        </w:rPr>
        <w:t xml:space="preserve"> Et ce décalage </w:t>
      </w:r>
      <w:r w:rsidRPr="003E5403">
        <w:rPr>
          <w:rFonts w:eastAsia="Times New Roman" w:cs="Times New Roman"/>
          <w:color w:val="002060"/>
          <w:sz w:val="20"/>
          <w:szCs w:val="20"/>
          <w:lang w:eastAsia="fr-FR"/>
        </w:rPr>
        <w:t>se renouvelle sans cesse au fur et à mesure que l'entreprise produit, puisqu'il faut continuer d'acheter des matières premières</w:t>
      </w:r>
      <w:r w:rsidR="007676F3">
        <w:rPr>
          <w:rFonts w:eastAsia="Times New Roman" w:cs="Times New Roman"/>
          <w:color w:val="002060"/>
          <w:sz w:val="20"/>
          <w:szCs w:val="20"/>
          <w:lang w:eastAsia="fr-FR"/>
        </w:rPr>
        <w:t xml:space="preserve"> ou des marchandises</w:t>
      </w:r>
      <w:r w:rsidRPr="003E5403">
        <w:rPr>
          <w:rFonts w:eastAsia="Times New Roman" w:cs="Times New Roman"/>
          <w:color w:val="002060"/>
          <w:sz w:val="20"/>
          <w:szCs w:val="20"/>
          <w:lang w:eastAsia="fr-FR"/>
        </w:rPr>
        <w:t xml:space="preserve">, payer des services et </w:t>
      </w:r>
      <w:r w:rsidR="007676F3">
        <w:rPr>
          <w:rFonts w:eastAsia="Times New Roman" w:cs="Times New Roman"/>
          <w:color w:val="002060"/>
          <w:sz w:val="20"/>
          <w:szCs w:val="20"/>
          <w:lang w:eastAsia="fr-FR"/>
        </w:rPr>
        <w:t>l</w:t>
      </w:r>
      <w:r w:rsidRPr="003E5403">
        <w:rPr>
          <w:rFonts w:eastAsia="Times New Roman" w:cs="Times New Roman"/>
          <w:color w:val="002060"/>
          <w:sz w:val="20"/>
          <w:szCs w:val="20"/>
          <w:lang w:eastAsia="fr-FR"/>
        </w:rPr>
        <w:t xml:space="preserve">es salariés. </w:t>
      </w:r>
    </w:p>
    <w:p w:rsidR="00CF3617" w:rsidRPr="00866092" w:rsidRDefault="00CF3617" w:rsidP="00DF152A">
      <w:pPr>
        <w:spacing w:after="60" w:line="240" w:lineRule="auto"/>
        <w:jc w:val="both"/>
        <w:rPr>
          <w:rFonts w:ascii="Calibri" w:eastAsia="Times New Roman" w:hAnsi="Calibri" w:cs="Times New Roman"/>
          <w:color w:val="002060"/>
          <w:sz w:val="20"/>
          <w:szCs w:val="20"/>
          <w:lang w:eastAsia="fr-FR"/>
        </w:rPr>
      </w:pPr>
      <w:r w:rsidRPr="00866092">
        <w:rPr>
          <w:rFonts w:ascii="Calibri" w:eastAsia="Times New Roman" w:hAnsi="Calibri" w:cs="Times New Roman"/>
          <w:color w:val="002060"/>
          <w:sz w:val="20"/>
          <w:szCs w:val="20"/>
          <w:lang w:eastAsia="fr-FR"/>
        </w:rPr>
        <w:t>L’entreprise devra donc faire face</w:t>
      </w:r>
      <w:r w:rsidR="007676F3">
        <w:rPr>
          <w:rFonts w:ascii="Calibri" w:eastAsia="Times New Roman" w:hAnsi="Calibri" w:cs="Times New Roman"/>
          <w:color w:val="002060"/>
          <w:sz w:val="20"/>
          <w:szCs w:val="20"/>
          <w:lang w:eastAsia="fr-FR"/>
        </w:rPr>
        <w:t xml:space="preserve"> en permanence</w:t>
      </w:r>
      <w:r w:rsidRPr="00866092">
        <w:rPr>
          <w:rFonts w:ascii="Calibri" w:eastAsia="Times New Roman" w:hAnsi="Calibri" w:cs="Times New Roman"/>
          <w:color w:val="002060"/>
          <w:sz w:val="20"/>
          <w:szCs w:val="20"/>
          <w:lang w:eastAsia="fr-FR"/>
        </w:rPr>
        <w:t xml:space="preserve"> à des </w:t>
      </w:r>
      <w:r w:rsidR="007676F3">
        <w:rPr>
          <w:rFonts w:ascii="Calibri" w:eastAsia="Times New Roman" w:hAnsi="Calibri" w:cs="Times New Roman"/>
          <w:color w:val="002060"/>
          <w:sz w:val="20"/>
          <w:szCs w:val="20"/>
          <w:lang w:eastAsia="fr-FR"/>
        </w:rPr>
        <w:t>paiement</w:t>
      </w:r>
      <w:r w:rsidRPr="00866092">
        <w:rPr>
          <w:rFonts w:ascii="Calibri" w:eastAsia="Times New Roman" w:hAnsi="Calibri" w:cs="Times New Roman"/>
          <w:color w:val="002060"/>
          <w:sz w:val="20"/>
          <w:szCs w:val="20"/>
          <w:lang w:eastAsia="fr-FR"/>
        </w:rPr>
        <w:t xml:space="preserve">s de dettes </w:t>
      </w:r>
      <w:r w:rsidR="00F931F1" w:rsidRPr="00F931F1">
        <w:rPr>
          <w:rFonts w:ascii="Calibri" w:eastAsia="Times New Roman" w:hAnsi="Calibri" w:cs="Times New Roman"/>
          <w:b/>
          <w:color w:val="002060"/>
          <w:sz w:val="20"/>
          <w:szCs w:val="20"/>
          <w:lang w:eastAsia="fr-FR"/>
        </w:rPr>
        <w:t>avan</w:t>
      </w:r>
      <w:r w:rsidR="00F931F1">
        <w:rPr>
          <w:rFonts w:ascii="Calibri" w:eastAsia="Times New Roman" w:hAnsi="Calibri" w:cs="Times New Roman"/>
          <w:color w:val="002060"/>
          <w:sz w:val="20"/>
          <w:szCs w:val="20"/>
          <w:lang w:eastAsia="fr-FR"/>
        </w:rPr>
        <w:t>t d’</w:t>
      </w:r>
      <w:r w:rsidRPr="00866092">
        <w:rPr>
          <w:rFonts w:ascii="Calibri" w:eastAsia="Times New Roman" w:hAnsi="Calibri" w:cs="Times New Roman"/>
          <w:color w:val="002060"/>
          <w:sz w:val="20"/>
          <w:szCs w:val="20"/>
          <w:lang w:eastAsia="fr-FR"/>
        </w:rPr>
        <w:t>avoir encaissé les recettes escomptées. Un tel processus peut entraîner à terme la rupture de trésorerie et la cessation de paiements.</w:t>
      </w:r>
    </w:p>
    <w:p w:rsidR="00CF3617" w:rsidRPr="00866092" w:rsidRDefault="00CF3617" w:rsidP="00F931F1">
      <w:pPr>
        <w:spacing w:after="240" w:line="240" w:lineRule="auto"/>
        <w:jc w:val="both"/>
        <w:rPr>
          <w:rFonts w:ascii="Calibri" w:eastAsia="Times New Roman" w:hAnsi="Calibri" w:cs="Times New Roman"/>
          <w:color w:val="000080"/>
          <w:sz w:val="20"/>
          <w:szCs w:val="20"/>
          <w:lang w:eastAsia="fr-FR"/>
        </w:rPr>
      </w:pPr>
      <w:r w:rsidRPr="00866092">
        <w:rPr>
          <w:rFonts w:ascii="Calibri" w:eastAsia="Times New Roman" w:hAnsi="Calibri" w:cs="Times New Roman"/>
          <w:color w:val="002060"/>
          <w:sz w:val="20"/>
          <w:szCs w:val="20"/>
          <w:lang w:eastAsia="fr-FR"/>
        </w:rPr>
        <w:t>Dès lors, pour qu’il existe une certaine sécurité financière, il est nécessaire que les capitaux permanents soient supérieurs à l’actif immobilisé</w:t>
      </w:r>
      <w:r w:rsidRPr="00866092">
        <w:rPr>
          <w:rFonts w:ascii="Calibri" w:eastAsia="Times New Roman" w:hAnsi="Calibri" w:cs="Times New Roman"/>
          <w:color w:val="000080"/>
          <w:sz w:val="20"/>
          <w:szCs w:val="20"/>
          <w:lang w:eastAsia="fr-FR"/>
        </w:rPr>
        <w:t>.</w:t>
      </w:r>
      <w:r w:rsidR="00625558">
        <w:rPr>
          <w:rFonts w:ascii="Calibri" w:eastAsia="Times New Roman" w:hAnsi="Calibri" w:cs="Times New Roman"/>
          <w:color w:val="000080"/>
          <w:sz w:val="20"/>
          <w:szCs w:val="20"/>
          <w:lang w:eastAsia="fr-FR"/>
        </w:rPr>
        <w:t xml:space="preserve"> </w:t>
      </w:r>
      <w:r w:rsidR="00625558" w:rsidRPr="00F0015B">
        <w:rPr>
          <w:rFonts w:ascii="Calibri" w:eastAsia="Times New Roman" w:hAnsi="Calibri" w:cs="Times New Roman"/>
          <w:color w:val="002060"/>
          <w:sz w:val="20"/>
          <w:szCs w:val="20"/>
          <w:lang w:eastAsia="fr-FR"/>
        </w:rPr>
        <w:t>Cet</w:t>
      </w:r>
      <w:r w:rsidR="00625558">
        <w:rPr>
          <w:rFonts w:ascii="Calibri" w:eastAsia="Times New Roman" w:hAnsi="Calibri" w:cs="Times New Roman"/>
          <w:color w:val="000080"/>
          <w:sz w:val="20"/>
          <w:szCs w:val="20"/>
          <w:lang w:eastAsia="fr-FR"/>
        </w:rPr>
        <w:t xml:space="preserve"> </w:t>
      </w:r>
      <w:r w:rsidR="00625558" w:rsidRPr="00F0015B">
        <w:rPr>
          <w:rFonts w:ascii="Calibri" w:eastAsia="Times New Roman" w:hAnsi="Calibri" w:cs="Times New Roman"/>
          <w:color w:val="002060"/>
          <w:sz w:val="20"/>
          <w:szCs w:val="20"/>
          <w:lang w:eastAsia="fr-FR"/>
        </w:rPr>
        <w:t xml:space="preserve">excédent est appelé </w:t>
      </w:r>
      <w:r w:rsidR="00625558" w:rsidRPr="00625558">
        <w:rPr>
          <w:rFonts w:ascii="Calibri" w:eastAsia="Times New Roman" w:hAnsi="Calibri" w:cs="Times New Roman"/>
          <w:color w:val="000080"/>
          <w:sz w:val="20"/>
          <w:szCs w:val="20"/>
          <w:lang w:eastAsia="fr-FR"/>
        </w:rPr>
        <w:t>«</w:t>
      </w:r>
      <w:r w:rsidR="00625558" w:rsidRPr="00625558">
        <w:rPr>
          <w:rFonts w:ascii="Calibri" w:eastAsia="Times New Roman" w:hAnsi="Calibri" w:cs="Times New Roman"/>
          <w:b/>
          <w:color w:val="000080"/>
          <w:sz w:val="20"/>
          <w:szCs w:val="20"/>
          <w:lang w:eastAsia="fr-FR"/>
        </w:rPr>
        <w:t> </w:t>
      </w:r>
      <w:r w:rsidR="00625558" w:rsidRPr="00F0015B">
        <w:rPr>
          <w:rFonts w:ascii="Calibri" w:eastAsia="Times New Roman" w:hAnsi="Calibri" w:cs="Times New Roman"/>
          <w:b/>
          <w:color w:val="0000CC"/>
          <w:sz w:val="20"/>
          <w:szCs w:val="20"/>
          <w:lang w:eastAsia="fr-FR"/>
        </w:rPr>
        <w:t>fonds de roulement</w:t>
      </w:r>
      <w:r w:rsidR="00625558" w:rsidRPr="00F0015B">
        <w:rPr>
          <w:rFonts w:ascii="Calibri" w:eastAsia="Times New Roman" w:hAnsi="Calibri" w:cs="Times New Roman"/>
          <w:color w:val="0000CC"/>
          <w:sz w:val="20"/>
          <w:szCs w:val="20"/>
          <w:lang w:eastAsia="fr-FR"/>
        </w:rPr>
        <w:t> </w:t>
      </w:r>
      <w:r w:rsidR="00625558">
        <w:rPr>
          <w:rFonts w:ascii="Calibri" w:eastAsia="Times New Roman" w:hAnsi="Calibri" w:cs="Times New Roman"/>
          <w:color w:val="000080"/>
          <w:sz w:val="20"/>
          <w:szCs w:val="20"/>
          <w:lang w:eastAsia="fr-FR"/>
        </w:rPr>
        <w:t>».</w:t>
      </w:r>
    </w:p>
    <w:p w:rsidR="00CF3617" w:rsidRPr="002A058C" w:rsidRDefault="00371AF1" w:rsidP="00185DF1">
      <w:pPr>
        <w:spacing w:after="120" w:line="240" w:lineRule="auto"/>
        <w:jc w:val="both"/>
        <w:rPr>
          <w:rStyle w:val="lev"/>
          <w:rFonts w:cs="Arial"/>
          <w:color w:val="002060"/>
          <w:sz w:val="21"/>
          <w:szCs w:val="21"/>
        </w:rPr>
      </w:pPr>
      <w:r w:rsidRPr="002A058C">
        <w:rPr>
          <w:rStyle w:val="lev"/>
          <w:rFonts w:cs="Arial"/>
          <w:color w:val="002060"/>
          <w:sz w:val="21"/>
          <w:szCs w:val="21"/>
        </w:rPr>
        <w:t>Le concept de fonds de roulement</w:t>
      </w:r>
    </w:p>
    <w:p w:rsidR="00DF152A" w:rsidRDefault="00F931F1" w:rsidP="00FA73BE">
      <w:pPr>
        <w:spacing w:after="120" w:line="240" w:lineRule="auto"/>
        <w:jc w:val="both"/>
        <w:rPr>
          <w:rFonts w:ascii="Calibri" w:eastAsia="Times New Roman" w:hAnsi="Calibri" w:cs="Times New Roman"/>
          <w:color w:val="002060"/>
          <w:sz w:val="20"/>
          <w:szCs w:val="20"/>
          <w:lang w:eastAsia="fr-FR"/>
        </w:rPr>
      </w:pPr>
      <w:r>
        <w:rPr>
          <w:rFonts w:ascii="Calibri" w:eastAsia="Times New Roman" w:hAnsi="Calibri" w:cs="Times New Roman"/>
          <w:color w:val="002060"/>
          <w:sz w:val="20"/>
          <w:szCs w:val="20"/>
          <w:lang w:eastAsia="fr-FR"/>
        </w:rPr>
        <w:t xml:space="preserve">Le </w:t>
      </w:r>
      <w:r w:rsidR="007676F3" w:rsidRPr="00F0015B">
        <w:rPr>
          <w:rFonts w:ascii="Calibri" w:eastAsia="Times New Roman" w:hAnsi="Calibri" w:cs="Times New Roman"/>
          <w:b/>
          <w:color w:val="0000CC"/>
          <w:sz w:val="20"/>
          <w:szCs w:val="20"/>
          <w:lang w:eastAsia="fr-FR"/>
        </w:rPr>
        <w:t>fonds de roulement</w:t>
      </w:r>
      <w:r w:rsidR="00512307" w:rsidRPr="00F0015B">
        <w:rPr>
          <w:rFonts w:ascii="Calibri" w:eastAsia="Times New Roman" w:hAnsi="Calibri" w:cs="Times New Roman"/>
          <w:color w:val="0000CC"/>
          <w:sz w:val="20"/>
          <w:szCs w:val="20"/>
          <w:lang w:eastAsia="fr-FR"/>
        </w:rPr>
        <w:t xml:space="preserve"> </w:t>
      </w:r>
      <w:r w:rsidR="00512307">
        <w:rPr>
          <w:rFonts w:ascii="Calibri" w:eastAsia="Times New Roman" w:hAnsi="Calibri" w:cs="Times New Roman"/>
          <w:color w:val="002060"/>
          <w:sz w:val="20"/>
          <w:szCs w:val="20"/>
          <w:lang w:eastAsia="fr-FR"/>
        </w:rPr>
        <w:t xml:space="preserve">est la fraction des capitaux permanents </w:t>
      </w:r>
      <w:r w:rsidR="00DF152A">
        <w:rPr>
          <w:rFonts w:ascii="Calibri" w:eastAsia="Times New Roman" w:hAnsi="Calibri" w:cs="Times New Roman"/>
          <w:color w:val="002060"/>
          <w:sz w:val="20"/>
          <w:szCs w:val="20"/>
          <w:lang w:eastAsia="fr-FR"/>
        </w:rPr>
        <w:t xml:space="preserve">constamment disponible pour financer </w:t>
      </w:r>
      <w:r w:rsidR="003E7060">
        <w:rPr>
          <w:rFonts w:ascii="Calibri" w:eastAsia="Times New Roman" w:hAnsi="Calibri" w:cs="Times New Roman"/>
          <w:color w:val="002060"/>
          <w:sz w:val="20"/>
          <w:szCs w:val="20"/>
          <w:lang w:eastAsia="fr-FR"/>
        </w:rPr>
        <w:t>l’</w:t>
      </w:r>
      <w:r w:rsidR="00DF152A">
        <w:rPr>
          <w:rFonts w:ascii="Calibri" w:eastAsia="Times New Roman" w:hAnsi="Calibri" w:cs="Times New Roman"/>
          <w:color w:val="002060"/>
          <w:sz w:val="20"/>
          <w:szCs w:val="20"/>
          <w:lang w:eastAsia="fr-FR"/>
        </w:rPr>
        <w:t>activité, c’est-à-dire couvrir les dépenses courantes.</w:t>
      </w:r>
    </w:p>
    <w:tbl>
      <w:tblPr>
        <w:tblStyle w:val="Grilledutableau"/>
        <w:tblW w:w="9923" w:type="dxa"/>
        <w:tblInd w:w="137" w:type="dxa"/>
        <w:shd w:val="clear" w:color="auto" w:fill="EBF9FF"/>
        <w:tblLook w:val="04A0" w:firstRow="1" w:lastRow="0" w:firstColumn="1" w:lastColumn="0" w:noHBand="0" w:noVBand="1"/>
      </w:tblPr>
      <w:tblGrid>
        <w:gridCol w:w="9923"/>
      </w:tblGrid>
      <w:tr w:rsidR="00EC53A0" w:rsidTr="00BB07F8">
        <w:tc>
          <w:tcPr>
            <w:tcW w:w="9923" w:type="dxa"/>
            <w:shd w:val="clear" w:color="auto" w:fill="EBF9FF"/>
          </w:tcPr>
          <w:p w:rsidR="00EC53A0" w:rsidRDefault="00EC53A0" w:rsidP="0088622E">
            <w:pPr>
              <w:spacing w:before="60"/>
              <w:ind w:left="113" w:right="113"/>
              <w:jc w:val="both"/>
              <w:rPr>
                <w:rFonts w:ascii="Calibri" w:eastAsia="Times New Roman" w:hAnsi="Calibri" w:cs="Times New Roman"/>
                <w:b/>
                <w:color w:val="002060"/>
                <w:sz w:val="20"/>
                <w:szCs w:val="20"/>
                <w:lang w:eastAsia="fr-FR"/>
              </w:rPr>
            </w:pPr>
            <w:r w:rsidRPr="00DA74C9">
              <w:rPr>
                <w:rFonts w:ascii="Calibri" w:eastAsia="Times New Roman" w:hAnsi="Calibri" w:cs="Times New Roman"/>
                <w:color w:val="002060"/>
                <w:sz w:val="20"/>
                <w:szCs w:val="20"/>
                <w:lang w:eastAsia="fr-FR"/>
              </w:rPr>
              <w:t>Elément clé de l’équilibre financier d’une entreprise, le fonds de roulement constitue</w:t>
            </w:r>
            <w:r w:rsidRPr="00EC53A0">
              <w:rPr>
                <w:rFonts w:ascii="Calibri" w:eastAsia="Times New Roman" w:hAnsi="Calibri" w:cs="Times New Roman"/>
                <w:b/>
                <w:color w:val="002060"/>
                <w:sz w:val="20"/>
                <w:szCs w:val="20"/>
                <w:lang w:eastAsia="fr-FR"/>
              </w:rPr>
              <w:t xml:space="preserve"> une garantie de sa liquidité. </w:t>
            </w:r>
          </w:p>
          <w:p w:rsidR="00EC53A0" w:rsidRPr="00DA74C9" w:rsidRDefault="00EC53A0" w:rsidP="0088622E">
            <w:pPr>
              <w:spacing w:after="60"/>
              <w:ind w:left="113" w:right="113"/>
              <w:jc w:val="both"/>
              <w:rPr>
                <w:rFonts w:ascii="Calibri" w:eastAsia="Times New Roman" w:hAnsi="Calibri" w:cs="Times New Roman"/>
                <w:color w:val="002060"/>
                <w:sz w:val="20"/>
                <w:szCs w:val="20"/>
                <w:lang w:eastAsia="fr-FR"/>
              </w:rPr>
            </w:pPr>
            <w:r w:rsidRPr="00DA74C9">
              <w:rPr>
                <w:rFonts w:ascii="Calibri" w:eastAsia="Times New Roman" w:hAnsi="Calibri" w:cs="Times New Roman"/>
                <w:color w:val="002060"/>
                <w:sz w:val="20"/>
                <w:szCs w:val="20"/>
                <w:lang w:eastAsia="fr-FR"/>
              </w:rPr>
              <w:t>Plus il est important, plus grande est cette garantie</w:t>
            </w:r>
            <w:r w:rsidR="00DA74C9">
              <w:rPr>
                <w:rFonts w:ascii="Calibri" w:eastAsia="Times New Roman" w:hAnsi="Calibri" w:cs="Times New Roman"/>
                <w:color w:val="002060"/>
                <w:sz w:val="20"/>
                <w:szCs w:val="20"/>
                <w:lang w:eastAsia="fr-FR"/>
              </w:rPr>
              <w:t>.</w:t>
            </w:r>
          </w:p>
        </w:tc>
      </w:tr>
    </w:tbl>
    <w:p w:rsidR="00512307" w:rsidRPr="003D0C2A" w:rsidRDefault="00512307" w:rsidP="00FA73BE">
      <w:pPr>
        <w:spacing w:before="120" w:after="60" w:line="240" w:lineRule="auto"/>
        <w:jc w:val="both"/>
        <w:rPr>
          <w:rFonts w:ascii="Calibri" w:eastAsia="Times New Roman" w:hAnsi="Calibri" w:cs="Times New Roman"/>
          <w:color w:val="002060"/>
          <w:sz w:val="20"/>
          <w:szCs w:val="20"/>
          <w:lang w:eastAsia="fr-FR"/>
        </w:rPr>
      </w:pPr>
      <w:r w:rsidRPr="003D0C2A">
        <w:rPr>
          <w:rFonts w:ascii="Calibri" w:eastAsia="Times New Roman" w:hAnsi="Calibri" w:cs="Times New Roman"/>
          <w:color w:val="002060"/>
          <w:sz w:val="20"/>
          <w:szCs w:val="20"/>
          <w:lang w:eastAsia="fr-FR"/>
        </w:rPr>
        <w:t>Il joue pour l’entreprise, le rôle de l’amortisseur sur un véhicule. Cette image illustre clairement le nom de fonds de roulement.</w:t>
      </w:r>
    </w:p>
    <w:p w:rsidR="00512307" w:rsidRPr="003D0C2A" w:rsidRDefault="00512307" w:rsidP="00512307">
      <w:pPr>
        <w:spacing w:after="60" w:line="240" w:lineRule="auto"/>
        <w:jc w:val="both"/>
        <w:rPr>
          <w:rFonts w:ascii="Calibri" w:eastAsia="Times New Roman" w:hAnsi="Calibri" w:cs="Times New Roman"/>
          <w:color w:val="002060"/>
          <w:sz w:val="20"/>
          <w:szCs w:val="20"/>
          <w:lang w:eastAsia="fr-FR"/>
        </w:rPr>
      </w:pPr>
      <w:r w:rsidRPr="003D0C2A">
        <w:rPr>
          <w:rFonts w:ascii="Calibri" w:eastAsia="Times New Roman" w:hAnsi="Calibri" w:cs="Times New Roman"/>
          <w:color w:val="002060"/>
          <w:sz w:val="20"/>
          <w:szCs w:val="20"/>
          <w:lang w:eastAsia="fr-FR"/>
        </w:rPr>
        <w:t>Il assure la stabilité financière contre les risques de dérapage permanents de trésorerie :</w:t>
      </w:r>
    </w:p>
    <w:p w:rsidR="00512307" w:rsidRPr="003D0C2A" w:rsidRDefault="00F0015B" w:rsidP="00512307">
      <w:pPr>
        <w:spacing w:after="60" w:line="240" w:lineRule="auto"/>
        <w:ind w:left="170" w:hanging="170"/>
        <w:jc w:val="both"/>
        <w:rPr>
          <w:rFonts w:ascii="Calibri" w:eastAsia="Times New Roman" w:hAnsi="Calibri" w:cs="Times New Roman"/>
          <w:color w:val="002060"/>
          <w:sz w:val="20"/>
          <w:szCs w:val="20"/>
          <w:lang w:eastAsia="fr-FR"/>
        </w:rPr>
      </w:pPr>
      <w:r w:rsidRPr="00355993">
        <w:rPr>
          <w:rFonts w:ascii="Calibri" w:hAnsi="Calibri"/>
          <w:noProof/>
          <w:color w:val="002060"/>
          <w:sz w:val="20"/>
          <w:szCs w:val="20"/>
          <w:lang w:eastAsia="fr-FR"/>
        </w:rPr>
        <w:drawing>
          <wp:inline distT="0" distB="0" distL="0" distR="0" wp14:anchorId="5043E344" wp14:editId="577276C0">
            <wp:extent cx="114300" cy="95250"/>
            <wp:effectExtent l="0" t="0" r="0" b="0"/>
            <wp:docPr id="2" name="Image 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3D0C2A">
        <w:rPr>
          <w:rFonts w:ascii="Calibri" w:eastAsia="Times New Roman" w:hAnsi="Calibri" w:cs="Times New Roman"/>
          <w:color w:val="002060"/>
          <w:sz w:val="20"/>
          <w:szCs w:val="20"/>
          <w:lang w:eastAsia="fr-FR"/>
        </w:rPr>
        <w:t>Coup</w:t>
      </w:r>
      <w:r w:rsidR="00512307" w:rsidRPr="003D0C2A">
        <w:rPr>
          <w:rFonts w:ascii="Calibri" w:eastAsia="Times New Roman" w:hAnsi="Calibri" w:cs="Times New Roman"/>
          <w:color w:val="002060"/>
          <w:sz w:val="20"/>
          <w:szCs w:val="20"/>
          <w:lang w:eastAsia="fr-FR"/>
        </w:rPr>
        <w:t xml:space="preserve"> de frein brutal sur dépôt de bilan d’un client,</w:t>
      </w:r>
    </w:p>
    <w:p w:rsidR="00512307" w:rsidRPr="003D0C2A" w:rsidRDefault="00F0015B" w:rsidP="00512307">
      <w:pPr>
        <w:spacing w:after="60" w:line="240" w:lineRule="auto"/>
        <w:ind w:left="170" w:hanging="170"/>
        <w:jc w:val="both"/>
        <w:rPr>
          <w:rFonts w:ascii="Calibri" w:eastAsia="Times New Roman" w:hAnsi="Calibri" w:cs="Times New Roman"/>
          <w:color w:val="002060"/>
          <w:sz w:val="20"/>
          <w:szCs w:val="20"/>
          <w:lang w:eastAsia="fr-FR"/>
        </w:rPr>
      </w:pPr>
      <w:r w:rsidRPr="00355993">
        <w:rPr>
          <w:rFonts w:ascii="Calibri" w:hAnsi="Calibri"/>
          <w:noProof/>
          <w:color w:val="002060"/>
          <w:sz w:val="20"/>
          <w:szCs w:val="20"/>
          <w:lang w:eastAsia="fr-FR"/>
        </w:rPr>
        <w:drawing>
          <wp:inline distT="0" distB="0" distL="0" distR="0" wp14:anchorId="5043E344" wp14:editId="577276C0">
            <wp:extent cx="114300" cy="95250"/>
            <wp:effectExtent l="0" t="0" r="0" b="0"/>
            <wp:docPr id="4" name="Image 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3D0C2A">
        <w:rPr>
          <w:rFonts w:ascii="Calibri" w:eastAsia="Times New Roman" w:hAnsi="Calibri" w:cs="Times New Roman"/>
          <w:color w:val="002060"/>
          <w:sz w:val="20"/>
          <w:szCs w:val="20"/>
          <w:lang w:eastAsia="fr-FR"/>
        </w:rPr>
        <w:t>Ralentissement</w:t>
      </w:r>
      <w:r w:rsidR="00512307" w:rsidRPr="003D0C2A">
        <w:rPr>
          <w:rFonts w:ascii="Calibri" w:eastAsia="Times New Roman" w:hAnsi="Calibri" w:cs="Times New Roman"/>
          <w:color w:val="002060"/>
          <w:sz w:val="20"/>
          <w:szCs w:val="20"/>
          <w:lang w:eastAsia="fr-FR"/>
        </w:rPr>
        <w:t xml:space="preserve"> sur retards de règlement des clients,</w:t>
      </w:r>
    </w:p>
    <w:p w:rsidR="00512307" w:rsidRPr="003D0C2A" w:rsidRDefault="00F0015B" w:rsidP="00512307">
      <w:pPr>
        <w:spacing w:after="60" w:line="240" w:lineRule="auto"/>
        <w:ind w:left="170" w:hanging="170"/>
        <w:jc w:val="both"/>
        <w:rPr>
          <w:rFonts w:ascii="Calibri" w:eastAsia="Times New Roman" w:hAnsi="Calibri" w:cs="Times New Roman"/>
          <w:color w:val="002060"/>
          <w:sz w:val="20"/>
          <w:szCs w:val="20"/>
          <w:lang w:eastAsia="fr-FR"/>
        </w:rPr>
      </w:pPr>
      <w:r w:rsidRPr="00355993">
        <w:rPr>
          <w:rFonts w:ascii="Calibri" w:hAnsi="Calibri"/>
          <w:noProof/>
          <w:color w:val="002060"/>
          <w:sz w:val="20"/>
          <w:szCs w:val="20"/>
          <w:lang w:eastAsia="fr-FR"/>
        </w:rPr>
        <w:drawing>
          <wp:inline distT="0" distB="0" distL="0" distR="0" wp14:anchorId="5043E344" wp14:editId="577276C0">
            <wp:extent cx="114300" cy="95250"/>
            <wp:effectExtent l="0" t="0" r="0" b="0"/>
            <wp:docPr id="6" name="Image 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3D0C2A">
        <w:rPr>
          <w:rFonts w:ascii="Calibri" w:eastAsia="Times New Roman" w:hAnsi="Calibri" w:cs="Times New Roman"/>
          <w:color w:val="002060"/>
          <w:sz w:val="20"/>
          <w:szCs w:val="20"/>
          <w:lang w:eastAsia="fr-FR"/>
        </w:rPr>
        <w:t>Véhicule</w:t>
      </w:r>
      <w:r>
        <w:rPr>
          <w:rFonts w:ascii="Calibri" w:eastAsia="Times New Roman" w:hAnsi="Calibri" w:cs="Times New Roman"/>
          <w:color w:val="002060"/>
          <w:sz w:val="20"/>
          <w:szCs w:val="20"/>
          <w:lang w:eastAsia="fr-FR"/>
        </w:rPr>
        <w:t xml:space="preserve"> trop chargé par sur-</w:t>
      </w:r>
      <w:r w:rsidR="00512307" w:rsidRPr="003D0C2A">
        <w:rPr>
          <w:rFonts w:ascii="Calibri" w:eastAsia="Times New Roman" w:hAnsi="Calibri" w:cs="Times New Roman"/>
          <w:color w:val="002060"/>
          <w:sz w:val="20"/>
          <w:szCs w:val="20"/>
          <w:lang w:eastAsia="fr-FR"/>
        </w:rPr>
        <w:t>stockage,</w:t>
      </w:r>
    </w:p>
    <w:p w:rsidR="00512307" w:rsidRPr="003D0C2A" w:rsidRDefault="00F0015B" w:rsidP="00512307">
      <w:pPr>
        <w:spacing w:after="120" w:line="240" w:lineRule="auto"/>
        <w:ind w:left="170" w:hanging="170"/>
        <w:jc w:val="both"/>
        <w:rPr>
          <w:rFonts w:ascii="Calibri" w:eastAsia="Times New Roman" w:hAnsi="Calibri" w:cs="Times New Roman"/>
          <w:color w:val="002060"/>
          <w:sz w:val="20"/>
          <w:szCs w:val="20"/>
          <w:lang w:eastAsia="fr-FR"/>
        </w:rPr>
      </w:pPr>
      <w:r w:rsidRPr="00355993">
        <w:rPr>
          <w:rFonts w:ascii="Calibri" w:hAnsi="Calibri"/>
          <w:noProof/>
          <w:color w:val="002060"/>
          <w:sz w:val="20"/>
          <w:szCs w:val="20"/>
          <w:lang w:eastAsia="fr-FR"/>
        </w:rPr>
        <w:drawing>
          <wp:inline distT="0" distB="0" distL="0" distR="0" wp14:anchorId="5043E344" wp14:editId="577276C0">
            <wp:extent cx="114300" cy="95250"/>
            <wp:effectExtent l="0" t="0" r="0" b="0"/>
            <wp:docPr id="7" name="Image 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Pr>
          <w:rFonts w:ascii="Calibri" w:eastAsia="Times New Roman" w:hAnsi="Calibri" w:cs="Times New Roman"/>
          <w:color w:val="002060"/>
          <w:sz w:val="20"/>
          <w:szCs w:val="20"/>
          <w:lang w:eastAsia="fr-FR"/>
        </w:rPr>
        <w:t>V</w:t>
      </w:r>
      <w:r w:rsidR="00512307" w:rsidRPr="003D0C2A">
        <w:rPr>
          <w:rFonts w:ascii="Calibri" w:eastAsia="Times New Roman" w:hAnsi="Calibri" w:cs="Times New Roman"/>
          <w:color w:val="002060"/>
          <w:sz w:val="20"/>
          <w:szCs w:val="20"/>
          <w:lang w:eastAsia="fr-FR"/>
        </w:rPr>
        <w:t>irages dangereux lors d’investissements ou de changements de stratégie.</w:t>
      </w:r>
    </w:p>
    <w:p w:rsidR="00DF152A" w:rsidRPr="002A058C" w:rsidRDefault="00DF152A" w:rsidP="0088622E">
      <w:pPr>
        <w:spacing w:after="60" w:line="240" w:lineRule="auto"/>
        <w:jc w:val="both"/>
        <w:outlineLvl w:val="1"/>
        <w:rPr>
          <w:rFonts w:eastAsia="Times New Roman" w:cs="Times New Roman"/>
          <w:b/>
          <w:bCs/>
          <w:color w:val="002060"/>
          <w:sz w:val="21"/>
          <w:szCs w:val="21"/>
          <w:lang w:eastAsia="fr-FR"/>
        </w:rPr>
      </w:pPr>
      <w:r w:rsidRPr="002A058C">
        <w:rPr>
          <w:rFonts w:eastAsia="Times New Roman" w:cs="Times New Roman"/>
          <w:b/>
          <w:bCs/>
          <w:color w:val="002060"/>
          <w:sz w:val="21"/>
          <w:szCs w:val="21"/>
          <w:lang w:eastAsia="fr-FR"/>
        </w:rPr>
        <w:lastRenderedPageBreak/>
        <w:t>Justification du fonds de roulement</w:t>
      </w:r>
    </w:p>
    <w:p w:rsidR="00DF152A" w:rsidRDefault="00DF152A" w:rsidP="0088622E">
      <w:pPr>
        <w:spacing w:after="60" w:line="240" w:lineRule="auto"/>
        <w:jc w:val="both"/>
        <w:outlineLvl w:val="1"/>
        <w:rPr>
          <w:rFonts w:eastAsia="Times New Roman" w:cs="Times New Roman"/>
          <w:bCs/>
          <w:color w:val="002060"/>
          <w:sz w:val="20"/>
          <w:szCs w:val="36"/>
          <w:lang w:eastAsia="fr-FR"/>
        </w:rPr>
      </w:pPr>
      <w:r w:rsidRPr="00DF152A">
        <w:rPr>
          <w:rFonts w:eastAsia="Times New Roman" w:cs="Times New Roman"/>
          <w:bCs/>
          <w:color w:val="002060"/>
          <w:sz w:val="20"/>
          <w:szCs w:val="36"/>
          <w:lang w:eastAsia="fr-FR"/>
        </w:rPr>
        <w:t>Pourquoi est-il opportun de financer une partie des actifs</w:t>
      </w:r>
      <w:r>
        <w:rPr>
          <w:rFonts w:eastAsia="Times New Roman" w:cs="Times New Roman"/>
          <w:bCs/>
          <w:color w:val="002060"/>
          <w:sz w:val="20"/>
          <w:szCs w:val="36"/>
          <w:lang w:eastAsia="fr-FR"/>
        </w:rPr>
        <w:t xml:space="preserve"> dont la transformation en liquidité est rapide par des capitaux à remboursement lents ?</w:t>
      </w:r>
    </w:p>
    <w:p w:rsidR="00DF152A" w:rsidRPr="00863369" w:rsidRDefault="00DF152A" w:rsidP="00F0015B">
      <w:pPr>
        <w:spacing w:after="60" w:line="240" w:lineRule="auto"/>
        <w:jc w:val="both"/>
        <w:outlineLvl w:val="1"/>
        <w:rPr>
          <w:rFonts w:eastAsia="Times New Roman" w:cs="Times New Roman"/>
          <w:b/>
          <w:bCs/>
          <w:color w:val="002060"/>
          <w:sz w:val="20"/>
          <w:szCs w:val="36"/>
          <w:lang w:eastAsia="fr-FR"/>
        </w:rPr>
      </w:pPr>
      <w:r w:rsidRPr="00863369">
        <w:rPr>
          <w:rFonts w:eastAsia="Times New Roman" w:cs="Times New Roman"/>
          <w:b/>
          <w:bCs/>
          <w:color w:val="002060"/>
          <w:sz w:val="20"/>
          <w:szCs w:val="36"/>
          <w:lang w:eastAsia="fr-FR"/>
        </w:rPr>
        <w:t>Pour 4 raisons principales</w:t>
      </w:r>
      <w:r w:rsidR="00863369">
        <w:rPr>
          <w:rFonts w:eastAsia="Times New Roman" w:cs="Times New Roman"/>
          <w:b/>
          <w:bCs/>
          <w:color w:val="002060"/>
          <w:sz w:val="20"/>
          <w:szCs w:val="36"/>
          <w:lang w:eastAsia="fr-FR"/>
        </w:rPr>
        <w:t> :</w:t>
      </w:r>
    </w:p>
    <w:p w:rsidR="00B54A61" w:rsidRPr="00B54A61" w:rsidRDefault="00B54A61" w:rsidP="0088622E">
      <w:pPr>
        <w:pStyle w:val="Paragraphedeliste"/>
        <w:numPr>
          <w:ilvl w:val="0"/>
          <w:numId w:val="8"/>
        </w:numPr>
        <w:spacing w:after="60" w:line="240" w:lineRule="auto"/>
        <w:ind w:left="170" w:hanging="170"/>
        <w:contextualSpacing w:val="0"/>
        <w:jc w:val="both"/>
        <w:outlineLvl w:val="1"/>
        <w:rPr>
          <w:rFonts w:eastAsia="Times New Roman" w:cs="Times New Roman"/>
          <w:b/>
          <w:bCs/>
          <w:color w:val="002060"/>
          <w:sz w:val="20"/>
          <w:szCs w:val="36"/>
          <w:lang w:eastAsia="fr-FR"/>
        </w:rPr>
      </w:pPr>
      <w:r>
        <w:rPr>
          <w:rFonts w:eastAsia="Times New Roman" w:cs="Times New Roman"/>
          <w:b/>
          <w:bCs/>
          <w:color w:val="002060"/>
          <w:sz w:val="20"/>
          <w:szCs w:val="36"/>
          <w:lang w:eastAsia="fr-FR"/>
        </w:rPr>
        <w:t xml:space="preserve"> </w:t>
      </w:r>
      <w:r w:rsidRPr="00B54A61">
        <w:rPr>
          <w:rFonts w:eastAsia="Times New Roman" w:cs="Times New Roman"/>
          <w:b/>
          <w:bCs/>
          <w:color w:val="002060"/>
          <w:sz w:val="20"/>
          <w:szCs w:val="36"/>
          <w:lang w:eastAsia="fr-FR"/>
        </w:rPr>
        <w:t>Une partie des actifs circulants et des dettes à court terme a un caractère permanent</w:t>
      </w:r>
    </w:p>
    <w:p w:rsidR="00B54A61" w:rsidRDefault="00B54A61" w:rsidP="00EE60AB">
      <w:pPr>
        <w:pStyle w:val="Paragraphedeliste"/>
        <w:numPr>
          <w:ilvl w:val="0"/>
          <w:numId w:val="9"/>
        </w:numPr>
        <w:spacing w:after="60" w:line="240" w:lineRule="auto"/>
        <w:ind w:left="340" w:hanging="170"/>
        <w:contextualSpacing w:val="0"/>
        <w:jc w:val="both"/>
        <w:outlineLvl w:val="1"/>
        <w:rPr>
          <w:rFonts w:eastAsia="Times New Roman" w:cs="Times New Roman"/>
          <w:b/>
          <w:bCs/>
          <w:color w:val="002060"/>
          <w:sz w:val="20"/>
          <w:szCs w:val="36"/>
          <w:lang w:eastAsia="fr-FR"/>
        </w:rPr>
      </w:pPr>
      <w:r>
        <w:rPr>
          <w:rFonts w:eastAsia="Times New Roman" w:cs="Times New Roman"/>
          <w:b/>
          <w:bCs/>
          <w:color w:val="002060"/>
          <w:sz w:val="20"/>
          <w:szCs w:val="36"/>
          <w:lang w:eastAsia="fr-FR"/>
        </w:rPr>
        <w:t>Stocks</w:t>
      </w:r>
    </w:p>
    <w:p w:rsidR="00EE60AB" w:rsidRDefault="00EE60AB" w:rsidP="00512307">
      <w:pPr>
        <w:pStyle w:val="Paragraphedeliste"/>
        <w:spacing w:after="60" w:line="240" w:lineRule="auto"/>
        <w:ind w:left="340"/>
        <w:contextualSpacing w:val="0"/>
        <w:jc w:val="both"/>
        <w:outlineLvl w:val="1"/>
        <w:rPr>
          <w:rFonts w:eastAsia="Times New Roman" w:cs="Times New Roman"/>
          <w:bCs/>
          <w:color w:val="002060"/>
          <w:sz w:val="20"/>
          <w:szCs w:val="36"/>
          <w:lang w:eastAsia="fr-FR"/>
        </w:rPr>
      </w:pPr>
      <w:r w:rsidRPr="00EE60AB">
        <w:rPr>
          <w:rFonts w:eastAsia="Times New Roman" w:cs="Times New Roman"/>
          <w:bCs/>
          <w:color w:val="002060"/>
          <w:sz w:val="20"/>
          <w:szCs w:val="36"/>
          <w:lang w:eastAsia="fr-FR"/>
        </w:rPr>
        <w:t>En général, l’entreprise gère plusieurs stocks (marchandises ou matières premières, matières consommables, produits finis</w:t>
      </w:r>
      <w:r>
        <w:rPr>
          <w:rFonts w:eastAsia="Times New Roman" w:cs="Times New Roman"/>
          <w:bCs/>
          <w:color w:val="002060"/>
          <w:sz w:val="20"/>
          <w:szCs w:val="36"/>
          <w:lang w:eastAsia="fr-FR"/>
        </w:rPr>
        <w:t>). Il est évident que la somme de ces stocks n’est jamais nulle.</w:t>
      </w:r>
    </w:p>
    <w:p w:rsidR="00EE60AB" w:rsidRDefault="00EE60AB" w:rsidP="00346291">
      <w:pPr>
        <w:pStyle w:val="Paragraphedeliste"/>
        <w:spacing w:after="120" w:line="240" w:lineRule="auto"/>
        <w:ind w:left="340"/>
        <w:contextualSpacing w:val="0"/>
        <w:jc w:val="both"/>
        <w:outlineLvl w:val="1"/>
        <w:rPr>
          <w:rFonts w:eastAsia="Times New Roman" w:cs="Times New Roman"/>
          <w:bCs/>
          <w:color w:val="002060"/>
          <w:sz w:val="20"/>
          <w:szCs w:val="36"/>
          <w:lang w:eastAsia="fr-FR"/>
        </w:rPr>
      </w:pPr>
      <w:r>
        <w:rPr>
          <w:rFonts w:eastAsia="Times New Roman" w:cs="Times New Roman"/>
          <w:bCs/>
          <w:color w:val="002060"/>
          <w:sz w:val="20"/>
          <w:szCs w:val="36"/>
          <w:lang w:eastAsia="fr-FR"/>
        </w:rPr>
        <w:t>Il existe don un stock minimum qu’il faut fi</w:t>
      </w:r>
      <w:r w:rsidR="00A0461A">
        <w:rPr>
          <w:rFonts w:eastAsia="Times New Roman" w:cs="Times New Roman"/>
          <w:bCs/>
          <w:color w:val="002060"/>
          <w:sz w:val="20"/>
          <w:szCs w:val="36"/>
          <w:lang w:eastAsia="fr-FR"/>
        </w:rPr>
        <w:t>n</w:t>
      </w:r>
      <w:r>
        <w:rPr>
          <w:rFonts w:eastAsia="Times New Roman" w:cs="Times New Roman"/>
          <w:bCs/>
          <w:color w:val="002060"/>
          <w:sz w:val="20"/>
          <w:szCs w:val="36"/>
          <w:lang w:eastAsia="fr-FR"/>
        </w:rPr>
        <w:t>ancer en permanence</w:t>
      </w:r>
      <w:r w:rsidR="00722449">
        <w:rPr>
          <w:rFonts w:eastAsia="Times New Roman" w:cs="Times New Roman"/>
          <w:bCs/>
          <w:color w:val="002060"/>
          <w:sz w:val="20"/>
          <w:szCs w:val="36"/>
          <w:lang w:eastAsia="fr-FR"/>
        </w:rPr>
        <w:t>.</w:t>
      </w:r>
    </w:p>
    <w:p w:rsidR="00EE60AB" w:rsidRDefault="00EE60AB" w:rsidP="00272E0A">
      <w:pPr>
        <w:pStyle w:val="Paragraphedeliste"/>
        <w:numPr>
          <w:ilvl w:val="0"/>
          <w:numId w:val="9"/>
        </w:numPr>
        <w:spacing w:after="60" w:line="240" w:lineRule="auto"/>
        <w:ind w:left="340" w:hanging="170"/>
        <w:contextualSpacing w:val="0"/>
        <w:jc w:val="both"/>
        <w:outlineLvl w:val="1"/>
        <w:rPr>
          <w:rFonts w:eastAsia="Times New Roman" w:cs="Times New Roman"/>
          <w:b/>
          <w:bCs/>
          <w:color w:val="002060"/>
          <w:sz w:val="20"/>
          <w:szCs w:val="36"/>
          <w:lang w:eastAsia="fr-FR"/>
        </w:rPr>
      </w:pPr>
      <w:r w:rsidRPr="00EE60AB">
        <w:rPr>
          <w:rFonts w:eastAsia="Times New Roman" w:cs="Times New Roman"/>
          <w:b/>
          <w:bCs/>
          <w:color w:val="002060"/>
          <w:sz w:val="20"/>
          <w:szCs w:val="36"/>
          <w:lang w:eastAsia="fr-FR"/>
        </w:rPr>
        <w:t>Clients</w:t>
      </w:r>
    </w:p>
    <w:p w:rsidR="00A0461A" w:rsidRDefault="00A0461A" w:rsidP="00A0461A">
      <w:pPr>
        <w:pStyle w:val="Paragraphedeliste"/>
        <w:spacing w:after="60" w:line="240" w:lineRule="auto"/>
        <w:ind w:left="340"/>
        <w:contextualSpacing w:val="0"/>
        <w:jc w:val="both"/>
        <w:outlineLvl w:val="1"/>
        <w:rPr>
          <w:rFonts w:eastAsia="Times New Roman" w:cs="Times New Roman"/>
          <w:bCs/>
          <w:color w:val="002060"/>
          <w:sz w:val="20"/>
          <w:szCs w:val="36"/>
          <w:lang w:eastAsia="fr-FR"/>
        </w:rPr>
      </w:pPr>
      <w:r w:rsidRPr="00A0461A">
        <w:rPr>
          <w:rFonts w:eastAsia="Times New Roman" w:cs="Times New Roman"/>
          <w:bCs/>
          <w:color w:val="002060"/>
          <w:sz w:val="20"/>
          <w:szCs w:val="36"/>
          <w:lang w:eastAsia="fr-FR"/>
        </w:rPr>
        <w:t>En règle générale, les entreprises ont recours aux délais de paiement</w:t>
      </w:r>
      <w:r>
        <w:rPr>
          <w:rFonts w:eastAsia="Times New Roman" w:cs="Times New Roman"/>
          <w:bCs/>
          <w:color w:val="002060"/>
          <w:sz w:val="20"/>
          <w:szCs w:val="36"/>
          <w:lang w:eastAsia="fr-FR"/>
        </w:rPr>
        <w:t>. Cette pratique constitue une source de financement pour les entreprises lorsqu’elles traitent avec leurs fournisseurs, mais se transforme en un besoin de financement quand elles se retrouvent dans la position inverse, vis-à-vis de leurs clients.</w:t>
      </w:r>
    </w:p>
    <w:p w:rsidR="00512307" w:rsidRDefault="00512307" w:rsidP="00A0461A">
      <w:pPr>
        <w:pStyle w:val="Paragraphedeliste"/>
        <w:spacing w:after="60" w:line="240" w:lineRule="auto"/>
        <w:ind w:left="340"/>
        <w:contextualSpacing w:val="0"/>
        <w:jc w:val="both"/>
        <w:outlineLvl w:val="1"/>
        <w:rPr>
          <w:rFonts w:eastAsia="Times New Roman" w:cs="Times New Roman"/>
          <w:bCs/>
          <w:color w:val="002060"/>
          <w:sz w:val="20"/>
          <w:szCs w:val="36"/>
          <w:lang w:eastAsia="fr-FR"/>
        </w:rPr>
      </w:pPr>
      <w:r>
        <w:rPr>
          <w:rFonts w:eastAsia="Times New Roman" w:cs="Times New Roman"/>
          <w:bCs/>
          <w:color w:val="002060"/>
          <w:sz w:val="20"/>
          <w:szCs w:val="36"/>
          <w:lang w:eastAsia="fr-FR"/>
        </w:rPr>
        <w:t>Les créances se renouvellent plus ou moins régulièrement. Mais, sauf exception, le montant des factures clients en attente de règlement n’est jamais nul.</w:t>
      </w:r>
    </w:p>
    <w:p w:rsidR="00346291" w:rsidRDefault="00346291" w:rsidP="00346291">
      <w:pPr>
        <w:pStyle w:val="Paragraphedeliste"/>
        <w:spacing w:after="120" w:line="240" w:lineRule="auto"/>
        <w:ind w:left="340"/>
        <w:contextualSpacing w:val="0"/>
        <w:jc w:val="both"/>
        <w:outlineLvl w:val="1"/>
        <w:rPr>
          <w:rFonts w:eastAsia="Times New Roman" w:cs="Times New Roman"/>
          <w:bCs/>
          <w:color w:val="002060"/>
          <w:sz w:val="20"/>
          <w:szCs w:val="36"/>
          <w:lang w:eastAsia="fr-FR"/>
        </w:rPr>
      </w:pPr>
      <w:r>
        <w:rPr>
          <w:rFonts w:eastAsia="Times New Roman" w:cs="Times New Roman"/>
          <w:bCs/>
          <w:color w:val="002060"/>
          <w:sz w:val="20"/>
          <w:szCs w:val="36"/>
          <w:lang w:eastAsia="fr-FR"/>
        </w:rPr>
        <w:t>Il existe donc un minimum de créances qu’il faut financer en permanence.</w:t>
      </w:r>
    </w:p>
    <w:p w:rsidR="00EE60AB" w:rsidRDefault="00346291" w:rsidP="00346291">
      <w:pPr>
        <w:pStyle w:val="Paragraphedeliste"/>
        <w:numPr>
          <w:ilvl w:val="0"/>
          <w:numId w:val="9"/>
        </w:numPr>
        <w:spacing w:after="60" w:line="240" w:lineRule="auto"/>
        <w:ind w:left="340" w:hanging="170"/>
        <w:contextualSpacing w:val="0"/>
        <w:jc w:val="both"/>
        <w:outlineLvl w:val="1"/>
        <w:rPr>
          <w:rFonts w:eastAsia="Times New Roman" w:cs="Times New Roman"/>
          <w:b/>
          <w:bCs/>
          <w:color w:val="002060"/>
          <w:sz w:val="20"/>
          <w:szCs w:val="36"/>
          <w:lang w:eastAsia="fr-FR"/>
        </w:rPr>
      </w:pPr>
      <w:r w:rsidRPr="00346291">
        <w:rPr>
          <w:rFonts w:eastAsia="Times New Roman" w:cs="Times New Roman"/>
          <w:b/>
          <w:bCs/>
          <w:color w:val="002060"/>
          <w:sz w:val="20"/>
          <w:szCs w:val="36"/>
          <w:lang w:eastAsia="fr-FR"/>
        </w:rPr>
        <w:t>Fournisseurs</w:t>
      </w:r>
    </w:p>
    <w:p w:rsidR="00346291" w:rsidRDefault="00346291" w:rsidP="00346291">
      <w:pPr>
        <w:pStyle w:val="Paragraphedeliste"/>
        <w:spacing w:after="60" w:line="240" w:lineRule="auto"/>
        <w:ind w:left="340"/>
        <w:contextualSpacing w:val="0"/>
        <w:jc w:val="both"/>
        <w:outlineLvl w:val="1"/>
        <w:rPr>
          <w:rFonts w:eastAsia="Times New Roman" w:cs="Times New Roman"/>
          <w:bCs/>
          <w:color w:val="002060"/>
          <w:sz w:val="20"/>
          <w:szCs w:val="36"/>
          <w:lang w:eastAsia="fr-FR"/>
        </w:rPr>
      </w:pPr>
      <w:r w:rsidRPr="00346291">
        <w:rPr>
          <w:rFonts w:eastAsia="Times New Roman" w:cs="Times New Roman"/>
          <w:bCs/>
          <w:color w:val="002060"/>
          <w:sz w:val="20"/>
          <w:szCs w:val="36"/>
          <w:lang w:eastAsia="fr-FR"/>
        </w:rPr>
        <w:t>Le raisonnement développé</w:t>
      </w:r>
      <w:r>
        <w:rPr>
          <w:rFonts w:eastAsia="Times New Roman" w:cs="Times New Roman"/>
          <w:bCs/>
          <w:color w:val="002060"/>
          <w:sz w:val="20"/>
          <w:szCs w:val="36"/>
          <w:lang w:eastAsia="fr-FR"/>
        </w:rPr>
        <w:t xml:space="preserve"> pour les clients vaut pour les fournisseurs.</w:t>
      </w:r>
    </w:p>
    <w:p w:rsidR="00346291" w:rsidRDefault="00346291" w:rsidP="00272E0A">
      <w:pPr>
        <w:pStyle w:val="Paragraphedeliste"/>
        <w:spacing w:after="240" w:line="240" w:lineRule="auto"/>
        <w:ind w:left="340"/>
        <w:contextualSpacing w:val="0"/>
        <w:jc w:val="both"/>
        <w:outlineLvl w:val="1"/>
        <w:rPr>
          <w:rFonts w:eastAsia="Times New Roman" w:cs="Times New Roman"/>
          <w:bCs/>
          <w:color w:val="002060"/>
          <w:sz w:val="20"/>
          <w:szCs w:val="36"/>
          <w:lang w:eastAsia="fr-FR"/>
        </w:rPr>
      </w:pPr>
      <w:r>
        <w:rPr>
          <w:rFonts w:eastAsia="Times New Roman" w:cs="Times New Roman"/>
          <w:bCs/>
          <w:color w:val="002060"/>
          <w:sz w:val="20"/>
          <w:szCs w:val="36"/>
          <w:lang w:eastAsia="fr-FR"/>
        </w:rPr>
        <w:t xml:space="preserve">Il existe donc, en permanence, un minimum de dettes à l’égard des fournisseurs. Ce minimum permanent doit être considéré comme une </w:t>
      </w:r>
      <w:r w:rsidRPr="00346291">
        <w:rPr>
          <w:rFonts w:eastAsia="Times New Roman" w:cs="Times New Roman"/>
          <w:b/>
          <w:bCs/>
          <w:color w:val="002060"/>
          <w:sz w:val="20"/>
          <w:szCs w:val="36"/>
          <w:lang w:eastAsia="fr-FR"/>
        </w:rPr>
        <w:t>ressource</w:t>
      </w:r>
      <w:r>
        <w:rPr>
          <w:rFonts w:eastAsia="Times New Roman" w:cs="Times New Roman"/>
          <w:bCs/>
          <w:color w:val="002060"/>
          <w:sz w:val="20"/>
          <w:szCs w:val="36"/>
          <w:lang w:eastAsia="fr-FR"/>
        </w:rPr>
        <w:t xml:space="preserve"> permanente.</w:t>
      </w:r>
    </w:p>
    <w:p w:rsidR="00346291" w:rsidRDefault="00346291" w:rsidP="00272E0A">
      <w:pPr>
        <w:pStyle w:val="Paragraphedeliste"/>
        <w:numPr>
          <w:ilvl w:val="0"/>
          <w:numId w:val="8"/>
        </w:numPr>
        <w:spacing w:after="60" w:line="240" w:lineRule="auto"/>
        <w:ind w:left="170" w:hanging="170"/>
        <w:contextualSpacing w:val="0"/>
        <w:jc w:val="both"/>
        <w:outlineLvl w:val="1"/>
        <w:rPr>
          <w:rFonts w:eastAsia="Times New Roman" w:cs="Times New Roman"/>
          <w:b/>
          <w:bCs/>
          <w:color w:val="002060"/>
          <w:sz w:val="20"/>
          <w:szCs w:val="36"/>
          <w:lang w:eastAsia="fr-FR"/>
        </w:rPr>
      </w:pPr>
      <w:r>
        <w:rPr>
          <w:rFonts w:eastAsia="Times New Roman" w:cs="Times New Roman"/>
          <w:b/>
          <w:bCs/>
          <w:color w:val="002060"/>
          <w:sz w:val="20"/>
          <w:szCs w:val="36"/>
          <w:lang w:eastAsia="fr-FR"/>
        </w:rPr>
        <w:t xml:space="preserve"> En général, il y a discordance entre le degré de </w:t>
      </w:r>
      <w:r w:rsidRPr="00F0015B">
        <w:rPr>
          <w:rFonts w:eastAsia="Times New Roman" w:cs="Times New Roman"/>
          <w:b/>
          <w:bCs/>
          <w:color w:val="0000CC"/>
          <w:sz w:val="20"/>
          <w:szCs w:val="36"/>
          <w:u w:val="single"/>
          <w:lang w:eastAsia="fr-FR"/>
        </w:rPr>
        <w:t>liquidité</w:t>
      </w:r>
      <w:r>
        <w:rPr>
          <w:rFonts w:eastAsia="Times New Roman" w:cs="Times New Roman"/>
          <w:b/>
          <w:bCs/>
          <w:color w:val="002060"/>
          <w:sz w:val="20"/>
          <w:szCs w:val="36"/>
          <w:lang w:eastAsia="fr-FR"/>
        </w:rPr>
        <w:t xml:space="preserve"> des actifs circulants et le degré d’</w:t>
      </w:r>
      <w:r w:rsidRPr="00F0015B">
        <w:rPr>
          <w:rFonts w:eastAsia="Times New Roman" w:cs="Times New Roman"/>
          <w:b/>
          <w:bCs/>
          <w:color w:val="FF0000"/>
          <w:sz w:val="20"/>
          <w:szCs w:val="36"/>
          <w:u w:val="single"/>
          <w:lang w:eastAsia="fr-FR"/>
        </w:rPr>
        <w:t>exigibilité</w:t>
      </w:r>
      <w:r w:rsidR="00415B55">
        <w:rPr>
          <w:rFonts w:eastAsia="Times New Roman" w:cs="Times New Roman"/>
          <w:b/>
          <w:bCs/>
          <w:color w:val="002060"/>
          <w:sz w:val="20"/>
          <w:szCs w:val="36"/>
          <w:lang w:eastAsia="fr-FR"/>
        </w:rPr>
        <w:t xml:space="preserve"> des dettes à court   </w:t>
      </w:r>
      <w:r>
        <w:rPr>
          <w:rFonts w:eastAsia="Times New Roman" w:cs="Times New Roman"/>
          <w:b/>
          <w:bCs/>
          <w:color w:val="002060"/>
          <w:sz w:val="20"/>
          <w:szCs w:val="36"/>
          <w:lang w:eastAsia="fr-FR"/>
        </w:rPr>
        <w:t>terme</w:t>
      </w:r>
    </w:p>
    <w:p w:rsidR="00346291" w:rsidRPr="00272E0A" w:rsidRDefault="00272E0A" w:rsidP="00272E0A">
      <w:pPr>
        <w:pStyle w:val="Paragraphedeliste"/>
        <w:spacing w:after="240" w:line="240" w:lineRule="auto"/>
        <w:ind w:left="170"/>
        <w:contextualSpacing w:val="0"/>
        <w:jc w:val="both"/>
        <w:outlineLvl w:val="1"/>
        <w:rPr>
          <w:rFonts w:eastAsia="Times New Roman" w:cs="Times New Roman"/>
          <w:bCs/>
          <w:color w:val="002060"/>
          <w:sz w:val="20"/>
          <w:szCs w:val="36"/>
          <w:lang w:eastAsia="fr-FR"/>
        </w:rPr>
      </w:pPr>
      <w:r w:rsidRPr="00272E0A">
        <w:rPr>
          <w:rFonts w:eastAsia="Times New Roman" w:cs="Times New Roman"/>
          <w:bCs/>
          <w:color w:val="002060"/>
          <w:sz w:val="20"/>
          <w:szCs w:val="36"/>
          <w:lang w:eastAsia="fr-FR"/>
        </w:rPr>
        <w:t>Les clients alimentent la trésorerie, tandis que les fournisseurs l’aspirent. L’aspiration précédant très fréquemment l’alimentation, la nécessité pour l’entreprise de disposer d’un « fonds de réserve » est évidente</w:t>
      </w:r>
      <w:r w:rsidR="00722449">
        <w:rPr>
          <w:rFonts w:eastAsia="Times New Roman" w:cs="Times New Roman"/>
          <w:bCs/>
          <w:color w:val="002060"/>
          <w:sz w:val="20"/>
          <w:szCs w:val="36"/>
          <w:lang w:eastAsia="fr-FR"/>
        </w:rPr>
        <w:t>.</w:t>
      </w:r>
    </w:p>
    <w:p w:rsidR="00272E0A" w:rsidRDefault="00272E0A" w:rsidP="0088622E">
      <w:pPr>
        <w:pStyle w:val="Paragraphedeliste"/>
        <w:numPr>
          <w:ilvl w:val="0"/>
          <w:numId w:val="8"/>
        </w:numPr>
        <w:spacing w:after="60" w:line="240" w:lineRule="auto"/>
        <w:ind w:left="170" w:hanging="170"/>
        <w:contextualSpacing w:val="0"/>
        <w:jc w:val="both"/>
        <w:outlineLvl w:val="1"/>
        <w:rPr>
          <w:rFonts w:eastAsia="Times New Roman" w:cs="Times New Roman"/>
          <w:b/>
          <w:bCs/>
          <w:color w:val="002060"/>
          <w:sz w:val="20"/>
          <w:szCs w:val="36"/>
          <w:lang w:eastAsia="fr-FR"/>
        </w:rPr>
      </w:pPr>
      <w:r>
        <w:rPr>
          <w:rFonts w:eastAsia="Times New Roman" w:cs="Times New Roman"/>
          <w:b/>
          <w:bCs/>
          <w:color w:val="002060"/>
          <w:sz w:val="20"/>
          <w:szCs w:val="36"/>
          <w:lang w:eastAsia="fr-FR"/>
        </w:rPr>
        <w:t xml:space="preserve"> La distorsion des flux de trésorerie est aggravée dans les entreprises à activités saisonnières</w:t>
      </w:r>
    </w:p>
    <w:p w:rsidR="00272E0A" w:rsidRPr="00272E0A" w:rsidRDefault="00272E0A" w:rsidP="006E6CDC">
      <w:pPr>
        <w:pStyle w:val="Paragraphedeliste"/>
        <w:spacing w:after="240" w:line="240" w:lineRule="auto"/>
        <w:ind w:left="170"/>
        <w:contextualSpacing w:val="0"/>
        <w:jc w:val="both"/>
        <w:outlineLvl w:val="1"/>
        <w:rPr>
          <w:rFonts w:eastAsia="Times New Roman" w:cs="Times New Roman"/>
          <w:bCs/>
          <w:color w:val="002060"/>
          <w:sz w:val="20"/>
          <w:szCs w:val="36"/>
          <w:lang w:eastAsia="fr-FR"/>
        </w:rPr>
      </w:pPr>
      <w:r w:rsidRPr="00272E0A">
        <w:rPr>
          <w:rFonts w:eastAsia="Times New Roman" w:cs="Times New Roman"/>
          <w:bCs/>
          <w:color w:val="002060"/>
          <w:sz w:val="20"/>
          <w:szCs w:val="36"/>
          <w:lang w:eastAsia="fr-FR"/>
        </w:rPr>
        <w:t>La saisonnalité engendre de fortes variations des postes stocks et clients. Elle se traduit donc par une importante irrégularité du flux d’alimentation de la trésorerie. Par contre, l’entreprise ne pouvant adapter complètement</w:t>
      </w:r>
      <w:r w:rsidR="006E6CDC">
        <w:rPr>
          <w:rFonts w:eastAsia="Times New Roman" w:cs="Times New Roman"/>
          <w:bCs/>
          <w:color w:val="002060"/>
          <w:sz w:val="20"/>
          <w:szCs w:val="36"/>
          <w:lang w:eastAsia="fr-FR"/>
        </w:rPr>
        <w:t xml:space="preserve"> son activité au rythme saisonnier, ses charges conservent une certaine régularité. Là encore un « stock de monnaie » sera nécessaire pour ajuster les  entrées et sorties de trésorerie.</w:t>
      </w:r>
    </w:p>
    <w:p w:rsidR="006E6CDC" w:rsidRDefault="006E6CDC" w:rsidP="0088622E">
      <w:pPr>
        <w:pStyle w:val="Paragraphedeliste"/>
        <w:numPr>
          <w:ilvl w:val="0"/>
          <w:numId w:val="8"/>
        </w:numPr>
        <w:spacing w:after="60" w:line="240" w:lineRule="auto"/>
        <w:ind w:left="170" w:hanging="170"/>
        <w:contextualSpacing w:val="0"/>
        <w:jc w:val="both"/>
        <w:outlineLvl w:val="1"/>
        <w:rPr>
          <w:rFonts w:eastAsia="Times New Roman" w:cs="Times New Roman"/>
          <w:b/>
          <w:bCs/>
          <w:color w:val="002060"/>
          <w:sz w:val="20"/>
          <w:szCs w:val="36"/>
          <w:lang w:eastAsia="fr-FR"/>
        </w:rPr>
      </w:pPr>
      <w:r>
        <w:rPr>
          <w:rFonts w:eastAsia="Times New Roman" w:cs="Times New Roman"/>
          <w:b/>
          <w:bCs/>
          <w:color w:val="002060"/>
          <w:sz w:val="20"/>
          <w:szCs w:val="36"/>
          <w:lang w:eastAsia="fr-FR"/>
        </w:rPr>
        <w:t xml:space="preserve"> Les actifs circulants peuvent se déprécier</w:t>
      </w:r>
    </w:p>
    <w:p w:rsidR="006E6CDC" w:rsidRPr="006E6CDC" w:rsidRDefault="006E6CDC" w:rsidP="006E6CDC">
      <w:pPr>
        <w:spacing w:after="60" w:line="240" w:lineRule="auto"/>
        <w:ind w:firstLine="170"/>
        <w:jc w:val="both"/>
        <w:rPr>
          <w:rFonts w:ascii="Calibri" w:eastAsia="Times New Roman" w:hAnsi="Calibri" w:cs="Times New Roman"/>
          <w:color w:val="002060"/>
          <w:sz w:val="20"/>
          <w:szCs w:val="20"/>
          <w:lang w:eastAsia="fr-FR"/>
        </w:rPr>
      </w:pPr>
      <w:r>
        <w:rPr>
          <w:rFonts w:ascii="Calibri" w:eastAsia="Times New Roman" w:hAnsi="Calibri" w:cs="Times New Roman"/>
          <w:color w:val="002060"/>
          <w:sz w:val="20"/>
          <w:szCs w:val="20"/>
          <w:lang w:eastAsia="fr-FR"/>
        </w:rPr>
        <w:t>Pour diverses raison</w:t>
      </w:r>
      <w:r w:rsidRPr="006E6CDC">
        <w:rPr>
          <w:rFonts w:ascii="Calibri" w:eastAsia="Times New Roman" w:hAnsi="Calibri" w:cs="Times New Roman"/>
          <w:color w:val="002060"/>
          <w:sz w:val="20"/>
          <w:szCs w:val="20"/>
          <w:lang w:eastAsia="fr-FR"/>
        </w:rPr>
        <w:t>s</w:t>
      </w:r>
      <w:r>
        <w:rPr>
          <w:rFonts w:ascii="Calibri" w:eastAsia="Times New Roman" w:hAnsi="Calibri" w:cs="Times New Roman"/>
          <w:color w:val="002060"/>
          <w:sz w:val="20"/>
          <w:szCs w:val="20"/>
          <w:lang w:eastAsia="fr-FR"/>
        </w:rPr>
        <w:t xml:space="preserve">, les stocks risquent </w:t>
      </w:r>
      <w:r w:rsidR="00136C5F">
        <w:rPr>
          <w:rFonts w:ascii="Calibri" w:eastAsia="Times New Roman" w:hAnsi="Calibri" w:cs="Times New Roman"/>
          <w:color w:val="002060"/>
          <w:sz w:val="20"/>
          <w:szCs w:val="20"/>
          <w:lang w:eastAsia="fr-FR"/>
        </w:rPr>
        <w:t xml:space="preserve"> de perdre de la valeur (produits avariés, démodés</w:t>
      </w:r>
      <w:r w:rsidRPr="006E6CDC">
        <w:rPr>
          <w:rFonts w:ascii="Calibri" w:eastAsia="Times New Roman" w:hAnsi="Calibri" w:cs="Times New Roman"/>
          <w:color w:val="002060"/>
          <w:sz w:val="20"/>
          <w:szCs w:val="20"/>
          <w:lang w:eastAsia="fr-FR"/>
        </w:rPr>
        <w:t xml:space="preserve"> ou invendables....</w:t>
      </w:r>
      <w:r w:rsidR="00136C5F">
        <w:rPr>
          <w:rFonts w:ascii="Calibri" w:eastAsia="Times New Roman" w:hAnsi="Calibri" w:cs="Times New Roman"/>
          <w:color w:val="002060"/>
          <w:sz w:val="20"/>
          <w:szCs w:val="20"/>
          <w:lang w:eastAsia="fr-FR"/>
        </w:rPr>
        <w:t>).</w:t>
      </w:r>
    </w:p>
    <w:p w:rsidR="006E6CDC" w:rsidRDefault="006E6CDC" w:rsidP="003E7060">
      <w:pPr>
        <w:pStyle w:val="Paragraphedeliste"/>
        <w:spacing w:after="60" w:line="240" w:lineRule="auto"/>
        <w:ind w:left="170"/>
        <w:contextualSpacing w:val="0"/>
        <w:jc w:val="both"/>
        <w:outlineLvl w:val="1"/>
        <w:rPr>
          <w:rFonts w:eastAsia="Times New Roman" w:cs="Times New Roman"/>
          <w:bCs/>
          <w:color w:val="002060"/>
          <w:sz w:val="20"/>
          <w:szCs w:val="36"/>
          <w:lang w:eastAsia="fr-FR"/>
        </w:rPr>
      </w:pPr>
      <w:r w:rsidRPr="006E6CDC">
        <w:rPr>
          <w:rFonts w:eastAsia="Times New Roman" w:cs="Times New Roman"/>
          <w:bCs/>
          <w:color w:val="002060"/>
          <w:sz w:val="20"/>
          <w:szCs w:val="36"/>
          <w:lang w:eastAsia="fr-FR"/>
        </w:rPr>
        <w:t xml:space="preserve">Certains clients peuvent être irrécouvrables. A d’autres, ayant </w:t>
      </w:r>
      <w:r>
        <w:rPr>
          <w:rFonts w:eastAsia="Times New Roman" w:cs="Times New Roman"/>
          <w:bCs/>
          <w:color w:val="002060"/>
          <w:sz w:val="20"/>
          <w:szCs w:val="36"/>
          <w:lang w:eastAsia="fr-FR"/>
        </w:rPr>
        <w:t xml:space="preserve">eux-mêmes </w:t>
      </w:r>
      <w:r w:rsidRPr="006E6CDC">
        <w:rPr>
          <w:rFonts w:eastAsia="Times New Roman" w:cs="Times New Roman"/>
          <w:bCs/>
          <w:color w:val="002060"/>
          <w:sz w:val="20"/>
          <w:szCs w:val="36"/>
          <w:lang w:eastAsia="fr-FR"/>
        </w:rPr>
        <w:t>des difficultés</w:t>
      </w:r>
      <w:r>
        <w:rPr>
          <w:rFonts w:eastAsia="Times New Roman" w:cs="Times New Roman"/>
          <w:bCs/>
          <w:color w:val="002060"/>
          <w:sz w:val="20"/>
          <w:szCs w:val="36"/>
          <w:lang w:eastAsia="fr-FR"/>
        </w:rPr>
        <w:t xml:space="preserve"> de trésorerie</w:t>
      </w:r>
      <w:r w:rsidR="00756233">
        <w:rPr>
          <w:rFonts w:eastAsia="Times New Roman" w:cs="Times New Roman"/>
          <w:bCs/>
          <w:color w:val="002060"/>
          <w:sz w:val="20"/>
          <w:szCs w:val="36"/>
          <w:lang w:eastAsia="fr-FR"/>
        </w:rPr>
        <w:t>, il faut accorder des délais de paiements plus longs.</w:t>
      </w:r>
    </w:p>
    <w:p w:rsidR="003E7060" w:rsidRDefault="00756233" w:rsidP="00EC53A0">
      <w:pPr>
        <w:pStyle w:val="Paragraphedeliste"/>
        <w:spacing w:after="120" w:line="240" w:lineRule="auto"/>
        <w:ind w:left="170"/>
        <w:contextualSpacing w:val="0"/>
        <w:jc w:val="both"/>
        <w:outlineLvl w:val="1"/>
        <w:rPr>
          <w:rFonts w:eastAsia="Times New Roman" w:cs="Times New Roman"/>
          <w:bCs/>
          <w:color w:val="002060"/>
          <w:sz w:val="20"/>
          <w:szCs w:val="36"/>
          <w:lang w:eastAsia="fr-FR"/>
        </w:rPr>
      </w:pPr>
      <w:r>
        <w:rPr>
          <w:rFonts w:eastAsia="Times New Roman" w:cs="Times New Roman"/>
          <w:bCs/>
          <w:color w:val="002060"/>
          <w:sz w:val="20"/>
          <w:szCs w:val="36"/>
          <w:lang w:eastAsia="fr-FR"/>
        </w:rPr>
        <w:t>Bref, les entrées de trésorerie ont un caractère incertain contre lequel i y a lieu de se prémunir. Raison supplémentaire de disposer d’un fonds de réserve.</w:t>
      </w:r>
    </w:p>
    <w:p w:rsidR="00863369" w:rsidRPr="003E5403" w:rsidRDefault="00863369" w:rsidP="00863369">
      <w:pPr>
        <w:spacing w:after="60" w:line="240" w:lineRule="auto"/>
        <w:jc w:val="both"/>
        <w:rPr>
          <w:rFonts w:eastAsia="Times New Roman" w:cs="Times New Roman"/>
          <w:color w:val="002060"/>
          <w:sz w:val="20"/>
          <w:szCs w:val="24"/>
          <w:lang w:eastAsia="fr-FR"/>
        </w:rPr>
      </w:pPr>
      <w:r>
        <w:rPr>
          <w:rFonts w:eastAsia="Times New Roman" w:cs="Times New Roman"/>
          <w:bCs/>
          <w:color w:val="002060"/>
          <w:sz w:val="20"/>
          <w:szCs w:val="36"/>
          <w:lang w:eastAsia="fr-FR"/>
        </w:rPr>
        <w:t>Les raisons exposées ci-dessus permettent de comprendre l’utilité du fonds de roulement.</w:t>
      </w:r>
      <w:r w:rsidRPr="00863369">
        <w:rPr>
          <w:rFonts w:eastAsia="Times New Roman" w:cs="Times New Roman"/>
          <w:color w:val="002060"/>
          <w:sz w:val="20"/>
          <w:szCs w:val="24"/>
          <w:lang w:eastAsia="fr-FR"/>
        </w:rPr>
        <w:t xml:space="preserve"> </w:t>
      </w:r>
      <w:r>
        <w:rPr>
          <w:rFonts w:eastAsia="Times New Roman" w:cs="Times New Roman"/>
          <w:color w:val="002060"/>
          <w:sz w:val="20"/>
          <w:szCs w:val="24"/>
          <w:lang w:eastAsia="fr-FR"/>
        </w:rPr>
        <w:t xml:space="preserve">En fonction de son montant, Il permet à l’entreprise d’absorber </w:t>
      </w:r>
      <w:r w:rsidRPr="003E5403">
        <w:rPr>
          <w:rFonts w:eastAsia="Times New Roman" w:cs="Times New Roman"/>
          <w:color w:val="002060"/>
          <w:sz w:val="20"/>
          <w:szCs w:val="24"/>
          <w:lang w:eastAsia="fr-FR"/>
        </w:rPr>
        <w:t>les risques financiers liés à son activité :</w:t>
      </w:r>
    </w:p>
    <w:p w:rsidR="00863369" w:rsidRPr="003E5403" w:rsidRDefault="00863369" w:rsidP="00863369">
      <w:pPr>
        <w:numPr>
          <w:ilvl w:val="0"/>
          <w:numId w:val="2"/>
        </w:numPr>
        <w:spacing w:after="60" w:line="240" w:lineRule="auto"/>
        <w:ind w:left="170" w:hanging="170"/>
        <w:jc w:val="both"/>
        <w:rPr>
          <w:rFonts w:eastAsia="Times New Roman" w:cs="Times New Roman"/>
          <w:color w:val="002060"/>
          <w:sz w:val="20"/>
          <w:szCs w:val="24"/>
          <w:lang w:eastAsia="fr-FR"/>
        </w:rPr>
      </w:pPr>
      <w:r w:rsidRPr="003E5403">
        <w:rPr>
          <w:rFonts w:eastAsia="Times New Roman" w:cs="Times New Roman"/>
          <w:color w:val="002060"/>
          <w:sz w:val="20"/>
          <w:szCs w:val="24"/>
          <w:lang w:eastAsia="fr-FR"/>
        </w:rPr>
        <w:t>défaillance d’un client, qui entraîne une hausse du besoin en fonds de roulement,</w:t>
      </w:r>
    </w:p>
    <w:p w:rsidR="00863369" w:rsidRPr="003E5403" w:rsidRDefault="00863369" w:rsidP="00863369">
      <w:pPr>
        <w:numPr>
          <w:ilvl w:val="0"/>
          <w:numId w:val="2"/>
        </w:numPr>
        <w:spacing w:after="60" w:line="240" w:lineRule="auto"/>
        <w:ind w:left="170" w:hanging="170"/>
        <w:jc w:val="both"/>
        <w:rPr>
          <w:rFonts w:eastAsia="Times New Roman" w:cs="Times New Roman"/>
          <w:color w:val="002060"/>
          <w:sz w:val="20"/>
          <w:szCs w:val="24"/>
          <w:lang w:eastAsia="fr-FR"/>
        </w:rPr>
      </w:pPr>
      <w:r w:rsidRPr="003E5403">
        <w:rPr>
          <w:rFonts w:eastAsia="Times New Roman" w:cs="Times New Roman"/>
          <w:color w:val="002060"/>
          <w:sz w:val="20"/>
          <w:szCs w:val="24"/>
          <w:lang w:eastAsia="fr-FR"/>
        </w:rPr>
        <w:t xml:space="preserve">augmentation du délai </w:t>
      </w:r>
      <w:r w:rsidR="00676421">
        <w:rPr>
          <w:rFonts w:eastAsia="Times New Roman" w:cs="Times New Roman"/>
          <w:color w:val="002060"/>
          <w:sz w:val="20"/>
          <w:szCs w:val="24"/>
          <w:lang w:eastAsia="fr-FR"/>
        </w:rPr>
        <w:t>d’écoulement</w:t>
      </w:r>
      <w:r w:rsidRPr="003E5403">
        <w:rPr>
          <w:rFonts w:eastAsia="Times New Roman" w:cs="Times New Roman"/>
          <w:color w:val="002060"/>
          <w:sz w:val="20"/>
          <w:szCs w:val="24"/>
          <w:lang w:eastAsia="fr-FR"/>
        </w:rPr>
        <w:t xml:space="preserve"> des stocks,</w:t>
      </w:r>
    </w:p>
    <w:p w:rsidR="00863369" w:rsidRDefault="00863369" w:rsidP="00863369">
      <w:pPr>
        <w:numPr>
          <w:ilvl w:val="0"/>
          <w:numId w:val="2"/>
        </w:numPr>
        <w:spacing w:after="60" w:line="240" w:lineRule="auto"/>
        <w:ind w:left="170" w:hanging="170"/>
        <w:jc w:val="both"/>
        <w:rPr>
          <w:rFonts w:eastAsia="Times New Roman" w:cs="Times New Roman"/>
          <w:color w:val="002060"/>
          <w:sz w:val="20"/>
          <w:szCs w:val="24"/>
          <w:lang w:eastAsia="fr-FR"/>
        </w:rPr>
      </w:pPr>
      <w:r w:rsidRPr="003E5403">
        <w:rPr>
          <w:rFonts w:eastAsia="Times New Roman" w:cs="Times New Roman"/>
          <w:color w:val="002060"/>
          <w:sz w:val="20"/>
          <w:szCs w:val="24"/>
          <w:lang w:eastAsia="fr-FR"/>
        </w:rPr>
        <w:t>augmentation du délai de règlement des clients,</w:t>
      </w:r>
    </w:p>
    <w:p w:rsidR="00863369" w:rsidRDefault="00863369" w:rsidP="00FA73BE">
      <w:pPr>
        <w:numPr>
          <w:ilvl w:val="0"/>
          <w:numId w:val="2"/>
        </w:numPr>
        <w:spacing w:after="120" w:line="240" w:lineRule="auto"/>
        <w:ind w:left="170" w:hanging="170"/>
        <w:jc w:val="both"/>
        <w:rPr>
          <w:rFonts w:eastAsia="Times New Roman" w:cs="Times New Roman"/>
          <w:color w:val="002060"/>
          <w:sz w:val="20"/>
          <w:szCs w:val="24"/>
          <w:lang w:eastAsia="fr-FR"/>
        </w:rPr>
      </w:pPr>
      <w:r w:rsidRPr="00863369">
        <w:rPr>
          <w:rFonts w:eastAsia="Times New Roman" w:cs="Times New Roman"/>
          <w:color w:val="002060"/>
          <w:sz w:val="20"/>
          <w:szCs w:val="24"/>
          <w:lang w:eastAsia="fr-FR"/>
        </w:rPr>
        <w:t>diminution du délai de règlement des fournisseurs ou mise en place d’un acompte sur commande</w:t>
      </w:r>
      <w:r w:rsidR="00024FEE">
        <w:rPr>
          <w:rFonts w:eastAsia="Times New Roman" w:cs="Times New Roman"/>
          <w:color w:val="002060"/>
          <w:sz w:val="20"/>
          <w:szCs w:val="24"/>
          <w:lang w:eastAsia="fr-FR"/>
        </w:rPr>
        <w:t>.</w:t>
      </w:r>
    </w:p>
    <w:tbl>
      <w:tblPr>
        <w:tblStyle w:val="Grilledutableau"/>
        <w:tblW w:w="10064" w:type="dxa"/>
        <w:tblInd w:w="137" w:type="dxa"/>
        <w:shd w:val="clear" w:color="auto" w:fill="EBF9FF"/>
        <w:tblLook w:val="04A0" w:firstRow="1" w:lastRow="0" w:firstColumn="1" w:lastColumn="0" w:noHBand="0" w:noVBand="1"/>
      </w:tblPr>
      <w:tblGrid>
        <w:gridCol w:w="10064"/>
      </w:tblGrid>
      <w:tr w:rsidR="00024FEE" w:rsidTr="00BB07F8">
        <w:tc>
          <w:tcPr>
            <w:tcW w:w="10064" w:type="dxa"/>
            <w:shd w:val="clear" w:color="auto" w:fill="EBF9FF"/>
          </w:tcPr>
          <w:p w:rsidR="00024FEE" w:rsidRPr="00024FEE" w:rsidRDefault="00024FEE" w:rsidP="0088622E">
            <w:pPr>
              <w:spacing w:before="60" w:after="60"/>
              <w:ind w:left="113" w:right="113"/>
              <w:jc w:val="both"/>
              <w:outlineLvl w:val="1"/>
              <w:rPr>
                <w:rFonts w:eastAsia="Times New Roman" w:cs="Times New Roman"/>
                <w:b/>
                <w:bCs/>
                <w:color w:val="002060"/>
                <w:sz w:val="20"/>
                <w:szCs w:val="36"/>
                <w:lang w:eastAsia="fr-FR"/>
              </w:rPr>
            </w:pPr>
            <w:r w:rsidRPr="00DA74C9">
              <w:rPr>
                <w:rFonts w:eastAsia="Times New Roman" w:cs="Times New Roman"/>
                <w:bCs/>
                <w:color w:val="002060"/>
                <w:sz w:val="20"/>
                <w:szCs w:val="36"/>
                <w:lang w:eastAsia="fr-FR"/>
              </w:rPr>
              <w:t>Le fonds de roulement</w:t>
            </w:r>
            <w:r w:rsidRPr="00024FEE">
              <w:rPr>
                <w:rFonts w:eastAsia="Times New Roman" w:cs="Times New Roman"/>
                <w:b/>
                <w:bCs/>
                <w:color w:val="002060"/>
                <w:sz w:val="20"/>
                <w:szCs w:val="36"/>
                <w:lang w:eastAsia="fr-FR"/>
              </w:rPr>
              <w:t xml:space="preserve"> garantit la solvabilité </w:t>
            </w:r>
            <w:r w:rsidRPr="00DA74C9">
              <w:rPr>
                <w:rFonts w:eastAsia="Times New Roman" w:cs="Times New Roman"/>
                <w:bCs/>
                <w:color w:val="002060"/>
                <w:sz w:val="20"/>
                <w:szCs w:val="36"/>
                <w:lang w:eastAsia="fr-FR"/>
              </w:rPr>
              <w:t>de l’entreprise, c’est pourquoi, en matière financière, on lui porte une attention toute particulière</w:t>
            </w:r>
            <w:r w:rsidR="00DA74C9">
              <w:rPr>
                <w:rFonts w:eastAsia="Times New Roman" w:cs="Times New Roman"/>
                <w:bCs/>
                <w:color w:val="002060"/>
                <w:sz w:val="20"/>
                <w:szCs w:val="36"/>
                <w:lang w:eastAsia="fr-FR"/>
              </w:rPr>
              <w:t>.</w:t>
            </w:r>
          </w:p>
        </w:tc>
      </w:tr>
    </w:tbl>
    <w:p w:rsidR="00615C2F" w:rsidRDefault="00024FEE" w:rsidP="00ED2988">
      <w:pPr>
        <w:spacing w:before="120" w:after="60" w:line="240" w:lineRule="auto"/>
        <w:jc w:val="both"/>
        <w:outlineLvl w:val="1"/>
        <w:rPr>
          <w:rFonts w:eastAsia="Times New Roman" w:cs="Times New Roman"/>
          <w:bCs/>
          <w:color w:val="002060"/>
          <w:sz w:val="20"/>
          <w:szCs w:val="36"/>
          <w:lang w:eastAsia="fr-FR"/>
        </w:rPr>
      </w:pPr>
      <w:r>
        <w:rPr>
          <w:rFonts w:eastAsia="Times New Roman" w:cs="Times New Roman"/>
          <w:bCs/>
          <w:color w:val="002060"/>
          <w:sz w:val="20"/>
          <w:szCs w:val="36"/>
          <w:lang w:eastAsia="fr-FR"/>
        </w:rPr>
        <w:t>Cependant, à</w:t>
      </w:r>
      <w:r w:rsidR="003E7060">
        <w:rPr>
          <w:rFonts w:eastAsia="Times New Roman" w:cs="Times New Roman"/>
          <w:bCs/>
          <w:color w:val="002060"/>
          <w:sz w:val="20"/>
          <w:szCs w:val="36"/>
          <w:lang w:eastAsia="fr-FR"/>
        </w:rPr>
        <w:t xml:space="preserve"> elle seule, la connaissance du montant du fonds de roulement n’est pas d’un grand intérêt</w:t>
      </w:r>
      <w:r w:rsidR="00615C2F">
        <w:rPr>
          <w:rFonts w:eastAsia="Times New Roman" w:cs="Times New Roman"/>
          <w:bCs/>
          <w:color w:val="002060"/>
          <w:sz w:val="20"/>
          <w:szCs w:val="36"/>
          <w:lang w:eastAsia="fr-FR"/>
        </w:rPr>
        <w:t xml:space="preserve">. Il faut la comparer </w:t>
      </w:r>
      <w:r w:rsidR="000E4755">
        <w:rPr>
          <w:rFonts w:eastAsia="Times New Roman" w:cs="Times New Roman"/>
          <w:bCs/>
          <w:color w:val="002060"/>
          <w:sz w:val="20"/>
          <w:szCs w:val="36"/>
          <w:lang w:eastAsia="fr-FR"/>
        </w:rPr>
        <w:t>au montant des liquidités nécessaires au fonctionnement de l’entreprise</w:t>
      </w:r>
      <w:r w:rsidR="00593ADE">
        <w:rPr>
          <w:rFonts w:eastAsia="Times New Roman" w:cs="Times New Roman"/>
          <w:bCs/>
          <w:color w:val="002060"/>
          <w:sz w:val="20"/>
          <w:szCs w:val="36"/>
          <w:lang w:eastAsia="fr-FR"/>
        </w:rPr>
        <w:t xml:space="preserve">, en particulier pour financer les stocks et les décalages entre les </w:t>
      </w:r>
      <w:r w:rsidR="00593ADE" w:rsidRPr="00ED2988">
        <w:rPr>
          <w:rFonts w:eastAsia="Times New Roman" w:cs="Times New Roman"/>
          <w:bCs/>
          <w:color w:val="FF0000"/>
          <w:sz w:val="20"/>
          <w:szCs w:val="36"/>
          <w:lang w:eastAsia="fr-FR"/>
        </w:rPr>
        <w:t>décaissements</w:t>
      </w:r>
      <w:r w:rsidR="000E4755">
        <w:rPr>
          <w:rFonts w:eastAsia="Times New Roman" w:cs="Times New Roman"/>
          <w:bCs/>
          <w:color w:val="002060"/>
          <w:sz w:val="20"/>
          <w:szCs w:val="36"/>
          <w:lang w:eastAsia="fr-FR"/>
        </w:rPr>
        <w:t xml:space="preserve"> envers les salariés, les fournisseurs et autres, et les </w:t>
      </w:r>
      <w:r w:rsidR="000E4755" w:rsidRPr="00ED2988">
        <w:rPr>
          <w:rFonts w:eastAsia="Times New Roman" w:cs="Times New Roman"/>
          <w:bCs/>
          <w:color w:val="0000CC"/>
          <w:sz w:val="20"/>
          <w:szCs w:val="36"/>
          <w:lang w:eastAsia="fr-FR"/>
        </w:rPr>
        <w:t>encaissements</w:t>
      </w:r>
      <w:r w:rsidR="000E4755">
        <w:rPr>
          <w:rFonts w:eastAsia="Times New Roman" w:cs="Times New Roman"/>
          <w:bCs/>
          <w:color w:val="002060"/>
          <w:sz w:val="20"/>
          <w:szCs w:val="36"/>
          <w:lang w:eastAsia="fr-FR"/>
        </w:rPr>
        <w:t xml:space="preserve"> liés aux ventes.</w:t>
      </w:r>
    </w:p>
    <w:p w:rsidR="00615C2F" w:rsidRDefault="00615C2F" w:rsidP="00625558">
      <w:pPr>
        <w:spacing w:after="240" w:line="240" w:lineRule="auto"/>
        <w:jc w:val="both"/>
        <w:outlineLvl w:val="1"/>
        <w:rPr>
          <w:rFonts w:eastAsia="Times New Roman" w:cs="Times New Roman"/>
          <w:color w:val="002060"/>
          <w:sz w:val="20"/>
          <w:szCs w:val="20"/>
          <w:lang w:eastAsia="fr-FR"/>
        </w:rPr>
      </w:pPr>
      <w:r>
        <w:rPr>
          <w:rFonts w:eastAsia="Times New Roman" w:cs="Times New Roman"/>
          <w:bCs/>
          <w:color w:val="002060"/>
          <w:sz w:val="20"/>
          <w:szCs w:val="36"/>
          <w:lang w:eastAsia="fr-FR"/>
        </w:rPr>
        <w:t xml:space="preserve">Ce </w:t>
      </w:r>
      <w:r>
        <w:rPr>
          <w:rFonts w:eastAsia="Times New Roman" w:cs="Times New Roman"/>
          <w:color w:val="002060"/>
          <w:sz w:val="20"/>
          <w:szCs w:val="20"/>
          <w:lang w:eastAsia="fr-FR"/>
        </w:rPr>
        <w:t>besoin est appelé « </w:t>
      </w:r>
      <w:hyperlink r:id="rId7" w:history="1">
        <w:r w:rsidRPr="00FA73BE">
          <w:rPr>
            <w:rFonts w:eastAsia="Times New Roman" w:cs="Times New Roman"/>
            <w:b/>
            <w:bCs/>
            <w:color w:val="FF0000"/>
            <w:sz w:val="20"/>
            <w:szCs w:val="20"/>
            <w:lang w:eastAsia="fr-FR"/>
          </w:rPr>
          <w:t>Besoin en Fonds de Roulement</w:t>
        </w:r>
        <w:r>
          <w:rPr>
            <w:rFonts w:eastAsia="Times New Roman" w:cs="Times New Roman"/>
            <w:b/>
            <w:bCs/>
            <w:color w:val="002060"/>
            <w:sz w:val="20"/>
            <w:szCs w:val="20"/>
            <w:lang w:eastAsia="fr-FR"/>
          </w:rPr>
          <w:t> »</w:t>
        </w:r>
      </w:hyperlink>
      <w:r>
        <w:rPr>
          <w:rFonts w:eastAsia="Times New Roman" w:cs="Times New Roman"/>
          <w:color w:val="002060"/>
          <w:sz w:val="20"/>
          <w:szCs w:val="20"/>
          <w:lang w:eastAsia="fr-FR"/>
        </w:rPr>
        <w:t>.</w:t>
      </w:r>
    </w:p>
    <w:p w:rsidR="0088622E" w:rsidRDefault="0088622E" w:rsidP="003C5D18">
      <w:pPr>
        <w:spacing w:after="120" w:line="240" w:lineRule="auto"/>
        <w:jc w:val="both"/>
        <w:outlineLvl w:val="1"/>
        <w:rPr>
          <w:rFonts w:eastAsia="Times New Roman" w:cs="Times New Roman"/>
          <w:b/>
          <w:bCs/>
          <w:color w:val="002060"/>
          <w:sz w:val="24"/>
          <w:szCs w:val="36"/>
          <w:lang w:eastAsia="fr-FR"/>
        </w:rPr>
      </w:pPr>
    </w:p>
    <w:p w:rsidR="00024FEE" w:rsidRPr="002A058C" w:rsidRDefault="00024FEE" w:rsidP="003C5D18">
      <w:pPr>
        <w:spacing w:after="120" w:line="240" w:lineRule="auto"/>
        <w:jc w:val="both"/>
        <w:outlineLvl w:val="1"/>
        <w:rPr>
          <w:rFonts w:eastAsia="Times New Roman" w:cs="Times New Roman"/>
          <w:b/>
          <w:bCs/>
          <w:color w:val="002060"/>
          <w:sz w:val="21"/>
          <w:szCs w:val="21"/>
          <w:lang w:eastAsia="fr-FR"/>
        </w:rPr>
      </w:pPr>
      <w:r w:rsidRPr="002A058C">
        <w:rPr>
          <w:rFonts w:eastAsia="Times New Roman" w:cs="Times New Roman"/>
          <w:b/>
          <w:bCs/>
          <w:color w:val="002060"/>
          <w:sz w:val="21"/>
          <w:szCs w:val="21"/>
          <w:lang w:eastAsia="fr-FR"/>
        </w:rPr>
        <w:lastRenderedPageBreak/>
        <w:t>Le concept de besoin en fonds de roulement</w:t>
      </w:r>
    </w:p>
    <w:tbl>
      <w:tblPr>
        <w:tblStyle w:val="Grilledutableau"/>
        <w:tblW w:w="0" w:type="auto"/>
        <w:shd w:val="clear" w:color="auto" w:fill="FBE4D5" w:themeFill="accent2" w:themeFillTint="33"/>
        <w:tblLook w:val="04A0" w:firstRow="1" w:lastRow="0" w:firstColumn="1" w:lastColumn="0" w:noHBand="0" w:noVBand="1"/>
      </w:tblPr>
      <w:tblGrid>
        <w:gridCol w:w="10194"/>
      </w:tblGrid>
      <w:tr w:rsidR="00024FEE" w:rsidTr="00BB07F8">
        <w:tc>
          <w:tcPr>
            <w:tcW w:w="10194" w:type="dxa"/>
            <w:shd w:val="clear" w:color="auto" w:fill="FBE4D5" w:themeFill="accent2" w:themeFillTint="33"/>
          </w:tcPr>
          <w:p w:rsidR="00024FEE" w:rsidRPr="00C251C1" w:rsidRDefault="00C251C1" w:rsidP="0088622E">
            <w:pPr>
              <w:spacing w:before="60" w:after="60"/>
              <w:ind w:left="113" w:right="113"/>
              <w:jc w:val="both"/>
              <w:outlineLvl w:val="1"/>
              <w:rPr>
                <w:rFonts w:eastAsia="Times New Roman" w:cs="Times New Roman"/>
                <w:bCs/>
                <w:color w:val="002060"/>
                <w:sz w:val="20"/>
                <w:szCs w:val="36"/>
                <w:lang w:eastAsia="fr-FR"/>
              </w:rPr>
            </w:pPr>
            <w:r w:rsidRPr="00C251C1">
              <w:rPr>
                <w:rFonts w:eastAsia="Times New Roman" w:cs="Times New Roman"/>
                <w:bCs/>
                <w:color w:val="002060"/>
                <w:sz w:val="20"/>
                <w:szCs w:val="36"/>
                <w:lang w:eastAsia="fr-FR"/>
              </w:rPr>
              <w:t xml:space="preserve">Le </w:t>
            </w:r>
            <w:r w:rsidRPr="00BB07F8">
              <w:rPr>
                <w:rFonts w:eastAsia="Times New Roman" w:cs="Times New Roman"/>
                <w:b/>
                <w:bCs/>
                <w:color w:val="FF0000"/>
                <w:sz w:val="20"/>
                <w:szCs w:val="36"/>
                <w:lang w:eastAsia="fr-FR"/>
              </w:rPr>
              <w:t>besoin en fonds de roulement</w:t>
            </w:r>
            <w:r w:rsidRPr="00BB07F8">
              <w:rPr>
                <w:rFonts w:eastAsia="Times New Roman" w:cs="Times New Roman"/>
                <w:bCs/>
                <w:color w:val="FF0000"/>
                <w:sz w:val="20"/>
                <w:szCs w:val="36"/>
                <w:lang w:eastAsia="fr-FR"/>
              </w:rPr>
              <w:t xml:space="preserve"> </w:t>
            </w:r>
            <w:r w:rsidRPr="00C251C1">
              <w:rPr>
                <w:rFonts w:eastAsia="Times New Roman" w:cs="Times New Roman"/>
                <w:bCs/>
                <w:color w:val="002060"/>
                <w:sz w:val="20"/>
                <w:szCs w:val="36"/>
                <w:lang w:eastAsia="fr-FR"/>
              </w:rPr>
              <w:t>est, à une date donnée, le fonds de roulement dont l’entreprise devrait disposer pour faire face aux dettes échéant à cette date</w:t>
            </w:r>
          </w:p>
          <w:p w:rsidR="00C251C1" w:rsidRDefault="00C251C1" w:rsidP="0088622E">
            <w:pPr>
              <w:spacing w:before="60" w:after="60"/>
              <w:ind w:left="113" w:right="113"/>
              <w:jc w:val="both"/>
              <w:outlineLvl w:val="1"/>
              <w:rPr>
                <w:rFonts w:eastAsia="Times New Roman" w:cs="Times New Roman"/>
                <w:b/>
                <w:bCs/>
                <w:color w:val="002060"/>
                <w:sz w:val="24"/>
                <w:szCs w:val="36"/>
                <w:lang w:eastAsia="fr-FR"/>
              </w:rPr>
            </w:pPr>
            <w:r w:rsidRPr="00C251C1">
              <w:rPr>
                <w:rFonts w:eastAsia="Times New Roman" w:cs="Times New Roman"/>
                <w:bCs/>
                <w:color w:val="002060"/>
                <w:sz w:val="20"/>
                <w:szCs w:val="36"/>
                <w:lang w:eastAsia="fr-FR"/>
              </w:rPr>
              <w:t>En d’autres termes, et d’une manière générale, le besoin en fonds de roulement représente le fonds de roulement qui assurerait une marge de sécurité financière totale</w:t>
            </w:r>
          </w:p>
        </w:tc>
      </w:tr>
    </w:tbl>
    <w:p w:rsidR="00C251C1" w:rsidRDefault="00C251C1" w:rsidP="006C63FF">
      <w:pPr>
        <w:spacing w:before="60" w:after="60" w:line="240" w:lineRule="auto"/>
        <w:jc w:val="both"/>
        <w:outlineLvl w:val="1"/>
        <w:rPr>
          <w:rFonts w:eastAsia="Times New Roman" w:cs="Times New Roman"/>
          <w:bCs/>
          <w:color w:val="002060"/>
          <w:sz w:val="20"/>
          <w:szCs w:val="36"/>
          <w:lang w:eastAsia="fr-FR"/>
        </w:rPr>
      </w:pPr>
      <w:r w:rsidRPr="00C251C1">
        <w:rPr>
          <w:rFonts w:eastAsia="Times New Roman" w:cs="Times New Roman"/>
          <w:bCs/>
          <w:color w:val="002060"/>
          <w:sz w:val="20"/>
          <w:szCs w:val="36"/>
          <w:lang w:eastAsia="fr-FR"/>
        </w:rPr>
        <w:t>Cette définition</w:t>
      </w:r>
      <w:r>
        <w:rPr>
          <w:rFonts w:eastAsia="Times New Roman" w:cs="Times New Roman"/>
          <w:bCs/>
          <w:color w:val="002060"/>
          <w:sz w:val="20"/>
          <w:szCs w:val="36"/>
          <w:lang w:eastAsia="fr-FR"/>
        </w:rPr>
        <w:t xml:space="preserve"> permet de comprendre :</w:t>
      </w:r>
    </w:p>
    <w:p w:rsidR="00C251C1" w:rsidRDefault="00C251C1" w:rsidP="00C251C1">
      <w:pPr>
        <w:pStyle w:val="Paragraphedeliste"/>
        <w:numPr>
          <w:ilvl w:val="0"/>
          <w:numId w:val="2"/>
        </w:numPr>
        <w:spacing w:after="60" w:line="240" w:lineRule="auto"/>
        <w:ind w:left="170" w:hanging="170"/>
        <w:contextualSpacing w:val="0"/>
        <w:jc w:val="both"/>
        <w:outlineLvl w:val="1"/>
        <w:rPr>
          <w:rFonts w:eastAsia="Times New Roman" w:cs="Times New Roman"/>
          <w:bCs/>
          <w:color w:val="002060"/>
          <w:sz w:val="20"/>
          <w:szCs w:val="36"/>
          <w:lang w:eastAsia="fr-FR"/>
        </w:rPr>
      </w:pPr>
      <w:r>
        <w:rPr>
          <w:rFonts w:eastAsia="Times New Roman" w:cs="Times New Roman"/>
          <w:bCs/>
          <w:color w:val="002060"/>
          <w:sz w:val="20"/>
          <w:szCs w:val="36"/>
          <w:lang w:eastAsia="fr-FR"/>
        </w:rPr>
        <w:t>sa dénomination : besoin en fonds de roulement = fonds de roulement dont l’entreprise a besoin,</w:t>
      </w:r>
    </w:p>
    <w:p w:rsidR="00C251C1" w:rsidRDefault="00C251C1" w:rsidP="00C251C1">
      <w:pPr>
        <w:pStyle w:val="Paragraphedeliste"/>
        <w:numPr>
          <w:ilvl w:val="0"/>
          <w:numId w:val="2"/>
        </w:numPr>
        <w:spacing w:after="60" w:line="240" w:lineRule="auto"/>
        <w:ind w:left="170" w:hanging="170"/>
        <w:contextualSpacing w:val="0"/>
        <w:jc w:val="both"/>
        <w:outlineLvl w:val="1"/>
        <w:rPr>
          <w:rFonts w:eastAsia="Times New Roman" w:cs="Times New Roman"/>
          <w:bCs/>
          <w:color w:val="002060"/>
          <w:sz w:val="20"/>
          <w:szCs w:val="36"/>
          <w:lang w:eastAsia="fr-FR"/>
        </w:rPr>
      </w:pPr>
      <w:r>
        <w:rPr>
          <w:rFonts w:eastAsia="Times New Roman" w:cs="Times New Roman"/>
          <w:bCs/>
          <w:color w:val="002060"/>
          <w:sz w:val="20"/>
          <w:szCs w:val="36"/>
          <w:lang w:eastAsia="fr-FR"/>
        </w:rPr>
        <w:t>le fait qu’il faut toujours rapprocher ce dont l’entreprise dispose de ce dont elle a besoin : le fonds de roulement doit être comparé au besoin en fonds de roulement,</w:t>
      </w:r>
    </w:p>
    <w:p w:rsidR="00C251C1" w:rsidRDefault="00C251C1" w:rsidP="0088622E">
      <w:pPr>
        <w:pStyle w:val="Paragraphedeliste"/>
        <w:numPr>
          <w:ilvl w:val="0"/>
          <w:numId w:val="2"/>
        </w:numPr>
        <w:spacing w:after="120" w:line="240" w:lineRule="auto"/>
        <w:ind w:left="170" w:hanging="170"/>
        <w:contextualSpacing w:val="0"/>
        <w:jc w:val="both"/>
        <w:outlineLvl w:val="1"/>
        <w:rPr>
          <w:rFonts w:eastAsia="Times New Roman" w:cs="Times New Roman"/>
          <w:bCs/>
          <w:color w:val="002060"/>
          <w:sz w:val="20"/>
          <w:szCs w:val="36"/>
          <w:lang w:eastAsia="fr-FR"/>
        </w:rPr>
      </w:pPr>
      <w:r>
        <w:rPr>
          <w:rFonts w:eastAsia="Times New Roman" w:cs="Times New Roman"/>
          <w:bCs/>
          <w:color w:val="002060"/>
          <w:sz w:val="20"/>
          <w:szCs w:val="36"/>
          <w:lang w:eastAsia="fr-FR"/>
        </w:rPr>
        <w:t>ce dont dispose l’entreprise satisfait, en tout ou partie, ce dont elle a besoin : le fonds de roulement finance, tout ou partie, le besoin en fonds de roulement.</w:t>
      </w:r>
    </w:p>
    <w:p w:rsidR="003C5D18" w:rsidRPr="002A058C" w:rsidRDefault="003C5D18" w:rsidP="0088622E">
      <w:pPr>
        <w:spacing w:after="60" w:line="240" w:lineRule="auto"/>
        <w:jc w:val="both"/>
        <w:outlineLvl w:val="1"/>
        <w:rPr>
          <w:rFonts w:eastAsia="Times New Roman" w:cs="Times New Roman"/>
          <w:b/>
          <w:bCs/>
          <w:color w:val="002060"/>
          <w:sz w:val="21"/>
          <w:szCs w:val="21"/>
          <w:lang w:eastAsia="fr-FR"/>
        </w:rPr>
      </w:pPr>
      <w:r w:rsidRPr="002A058C">
        <w:rPr>
          <w:rFonts w:eastAsia="Times New Roman" w:cs="Times New Roman"/>
          <w:b/>
          <w:bCs/>
          <w:color w:val="002060"/>
          <w:sz w:val="21"/>
          <w:szCs w:val="21"/>
          <w:lang w:eastAsia="fr-FR"/>
        </w:rPr>
        <w:t>Quel est le fonds de roulement idéal ?</w:t>
      </w:r>
    </w:p>
    <w:p w:rsidR="00C54267" w:rsidRDefault="00C54267" w:rsidP="003C5D18">
      <w:pPr>
        <w:spacing w:after="60" w:line="240" w:lineRule="auto"/>
        <w:jc w:val="both"/>
        <w:outlineLvl w:val="1"/>
        <w:rPr>
          <w:rFonts w:eastAsia="Times New Roman" w:cs="Times New Roman"/>
          <w:bCs/>
          <w:color w:val="002060"/>
          <w:sz w:val="20"/>
          <w:szCs w:val="36"/>
          <w:lang w:eastAsia="fr-FR"/>
        </w:rPr>
      </w:pPr>
      <w:r>
        <w:rPr>
          <w:rFonts w:eastAsia="Times New Roman" w:cs="Times New Roman"/>
          <w:bCs/>
          <w:color w:val="002060"/>
          <w:sz w:val="20"/>
          <w:szCs w:val="36"/>
          <w:lang w:eastAsia="fr-FR"/>
        </w:rPr>
        <w:t>Si le fonds de roulement devait assurer, en permanence, la liquidité de l’entreprise, il faudrait qu’il soit, constamment, au moins égal au besoin en fonds de roulement. Or celui-ci varie en fonction du niveau d’</w:t>
      </w:r>
      <w:r w:rsidR="00DF6A8C">
        <w:rPr>
          <w:rFonts w:eastAsia="Times New Roman" w:cs="Times New Roman"/>
          <w:bCs/>
          <w:color w:val="002060"/>
          <w:sz w:val="20"/>
          <w:szCs w:val="36"/>
          <w:lang w:eastAsia="fr-FR"/>
        </w:rPr>
        <w:t>activité, et parfois très sensiblement, en particulier dans le cas d’une activité saisonnière.</w:t>
      </w:r>
    </w:p>
    <w:p w:rsidR="00DF6A8C" w:rsidRDefault="00DF6A8C" w:rsidP="003C5D18">
      <w:pPr>
        <w:spacing w:after="60" w:line="240" w:lineRule="auto"/>
        <w:jc w:val="both"/>
        <w:outlineLvl w:val="1"/>
        <w:rPr>
          <w:rFonts w:eastAsia="Times New Roman" w:cs="Times New Roman"/>
          <w:bCs/>
          <w:color w:val="002060"/>
          <w:sz w:val="20"/>
          <w:szCs w:val="36"/>
          <w:lang w:eastAsia="fr-FR"/>
        </w:rPr>
      </w:pPr>
      <w:r>
        <w:rPr>
          <w:rFonts w:eastAsia="Times New Roman" w:cs="Times New Roman"/>
          <w:bCs/>
          <w:color w:val="002060"/>
          <w:sz w:val="20"/>
          <w:szCs w:val="36"/>
          <w:lang w:eastAsia="fr-FR"/>
        </w:rPr>
        <w:t>L’entreprise  pourrait donc être amenée à disposer d’un fonds de roulement très important. Toutes les entreprises n’en n’ont pas les moyens.</w:t>
      </w:r>
    </w:p>
    <w:p w:rsidR="00DB154F" w:rsidRDefault="00DB154F" w:rsidP="003C5D18">
      <w:pPr>
        <w:spacing w:after="60" w:line="240" w:lineRule="auto"/>
        <w:jc w:val="both"/>
        <w:outlineLvl w:val="1"/>
        <w:rPr>
          <w:rFonts w:eastAsia="Times New Roman" w:cs="Times New Roman"/>
          <w:bCs/>
          <w:color w:val="002060"/>
          <w:sz w:val="20"/>
          <w:szCs w:val="36"/>
          <w:lang w:eastAsia="fr-FR"/>
        </w:rPr>
      </w:pPr>
      <w:r>
        <w:rPr>
          <w:rFonts w:eastAsia="Times New Roman" w:cs="Times New Roman"/>
          <w:bCs/>
          <w:color w:val="002060"/>
          <w:sz w:val="20"/>
          <w:szCs w:val="36"/>
          <w:lang w:eastAsia="fr-FR"/>
        </w:rPr>
        <w:t>D’autre part cela peut conduire à avoir pendant une partie de l’année un excès de trésorerie qui resterait oisif ou serait faiblement rémunérés.</w:t>
      </w:r>
    </w:p>
    <w:p w:rsidR="00DB154F" w:rsidRDefault="00DB154F" w:rsidP="00DB154F">
      <w:pPr>
        <w:spacing w:after="120" w:line="240" w:lineRule="auto"/>
        <w:jc w:val="both"/>
        <w:rPr>
          <w:rFonts w:ascii="Calibri" w:eastAsia="Times New Roman" w:hAnsi="Calibri" w:cs="Times New Roman"/>
          <w:color w:val="002060"/>
          <w:sz w:val="20"/>
          <w:szCs w:val="24"/>
          <w:lang w:eastAsia="fr-FR"/>
        </w:rPr>
      </w:pPr>
      <w:r>
        <w:rPr>
          <w:rFonts w:ascii="Calibri" w:eastAsia="Times New Roman" w:hAnsi="Calibri" w:cs="Times New Roman"/>
          <w:color w:val="002060"/>
          <w:sz w:val="20"/>
          <w:szCs w:val="24"/>
          <w:lang w:eastAsia="fr-FR"/>
        </w:rPr>
        <w:t>Il est courant que</w:t>
      </w:r>
      <w:r w:rsidRPr="00DB154F">
        <w:rPr>
          <w:rFonts w:ascii="Calibri" w:eastAsia="Times New Roman" w:hAnsi="Calibri" w:cs="Times New Roman"/>
          <w:color w:val="002060"/>
          <w:sz w:val="20"/>
          <w:szCs w:val="24"/>
          <w:lang w:eastAsia="fr-FR"/>
        </w:rPr>
        <w:t xml:space="preserve"> le fonds de roulement </w:t>
      </w:r>
      <w:r>
        <w:rPr>
          <w:rFonts w:ascii="Calibri" w:eastAsia="Times New Roman" w:hAnsi="Calibri" w:cs="Times New Roman"/>
          <w:color w:val="002060"/>
          <w:sz w:val="20"/>
          <w:szCs w:val="24"/>
          <w:lang w:eastAsia="fr-FR"/>
        </w:rPr>
        <w:t xml:space="preserve">ne couvre pas </w:t>
      </w:r>
      <w:r w:rsidRPr="00DB154F">
        <w:rPr>
          <w:rFonts w:ascii="Calibri" w:eastAsia="Times New Roman" w:hAnsi="Calibri" w:cs="Times New Roman"/>
          <w:color w:val="002060"/>
          <w:sz w:val="20"/>
          <w:szCs w:val="24"/>
          <w:lang w:eastAsia="fr-FR"/>
        </w:rPr>
        <w:t xml:space="preserve"> l’intégralité du besoin en fonds de roulement, l’entreprise doit </w:t>
      </w:r>
      <w:r w:rsidR="00A43E6C">
        <w:rPr>
          <w:rFonts w:ascii="Calibri" w:eastAsia="Times New Roman" w:hAnsi="Calibri" w:cs="Times New Roman"/>
          <w:color w:val="002060"/>
          <w:sz w:val="20"/>
          <w:szCs w:val="24"/>
          <w:lang w:eastAsia="fr-FR"/>
        </w:rPr>
        <w:t xml:space="preserve">alors </w:t>
      </w:r>
      <w:r w:rsidRPr="00DB154F">
        <w:rPr>
          <w:rFonts w:ascii="Calibri" w:eastAsia="Times New Roman" w:hAnsi="Calibri" w:cs="Times New Roman"/>
          <w:color w:val="002060"/>
          <w:sz w:val="20"/>
          <w:szCs w:val="24"/>
          <w:lang w:eastAsia="fr-FR"/>
        </w:rPr>
        <w:t>recourir à des c</w:t>
      </w:r>
      <w:r>
        <w:rPr>
          <w:rFonts w:ascii="Calibri" w:eastAsia="Times New Roman" w:hAnsi="Calibri" w:cs="Times New Roman"/>
          <w:color w:val="002060"/>
          <w:sz w:val="20"/>
          <w:szCs w:val="24"/>
          <w:lang w:eastAsia="fr-FR"/>
        </w:rPr>
        <w:t>o</w:t>
      </w:r>
      <w:r w:rsidR="00A43E6C">
        <w:rPr>
          <w:rFonts w:ascii="Calibri" w:eastAsia="Times New Roman" w:hAnsi="Calibri" w:cs="Times New Roman"/>
          <w:color w:val="002060"/>
          <w:sz w:val="20"/>
          <w:szCs w:val="24"/>
          <w:lang w:eastAsia="fr-FR"/>
        </w:rPr>
        <w:t>ncours bancaires à court terme.</w:t>
      </w:r>
    </w:p>
    <w:p w:rsidR="00DB154F" w:rsidRDefault="00DB154F" w:rsidP="00DB154F">
      <w:pPr>
        <w:spacing w:after="120" w:line="240" w:lineRule="auto"/>
        <w:jc w:val="center"/>
        <w:rPr>
          <w:rFonts w:ascii="Calibri" w:eastAsia="Times New Roman" w:hAnsi="Calibri" w:cs="Times New Roman"/>
          <w:color w:val="002060"/>
          <w:sz w:val="20"/>
          <w:szCs w:val="24"/>
          <w:lang w:eastAsia="fr-FR"/>
        </w:rPr>
      </w:pPr>
      <w:r>
        <w:rPr>
          <w:rFonts w:ascii="Calibri" w:eastAsia="Times New Roman" w:hAnsi="Calibri" w:cs="Times New Roman"/>
          <w:noProof/>
          <w:color w:val="002060"/>
          <w:sz w:val="20"/>
          <w:szCs w:val="24"/>
          <w:lang w:eastAsia="fr-FR"/>
        </w:rPr>
        <w:drawing>
          <wp:inline distT="0" distB="0" distL="0" distR="0" wp14:anchorId="458FA716">
            <wp:extent cx="3554095" cy="1493520"/>
            <wp:effectExtent l="0" t="0" r="825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54095" cy="1493520"/>
                    </a:xfrm>
                    <a:prstGeom prst="rect">
                      <a:avLst/>
                    </a:prstGeom>
                    <a:noFill/>
                  </pic:spPr>
                </pic:pic>
              </a:graphicData>
            </a:graphic>
          </wp:inline>
        </w:drawing>
      </w:r>
    </w:p>
    <w:p w:rsidR="00DB154F" w:rsidRPr="00DB154F" w:rsidRDefault="00DB154F" w:rsidP="00DB154F">
      <w:pPr>
        <w:spacing w:after="120" w:line="240" w:lineRule="auto"/>
        <w:jc w:val="both"/>
        <w:rPr>
          <w:rFonts w:ascii="Calibri" w:eastAsia="Times New Roman" w:hAnsi="Calibri" w:cs="Times New Roman"/>
          <w:color w:val="002060"/>
          <w:sz w:val="20"/>
          <w:szCs w:val="24"/>
          <w:lang w:eastAsia="fr-FR"/>
        </w:rPr>
      </w:pPr>
      <w:r>
        <w:rPr>
          <w:rFonts w:ascii="Calibri" w:hAnsi="Calibri"/>
          <w:color w:val="002060"/>
          <w:sz w:val="20"/>
        </w:rPr>
        <w:t>Le recours aux concours bancaires n’est pas inquiétant en soi. C’est son importance et son évolution qu’il convient d’analyser avec soin.</w:t>
      </w:r>
    </w:p>
    <w:tbl>
      <w:tblPr>
        <w:tblStyle w:val="Grilledutableau1"/>
        <w:tblW w:w="0" w:type="auto"/>
        <w:shd w:val="clear" w:color="auto" w:fill="EBF9FF"/>
        <w:tblLook w:val="04A0" w:firstRow="1" w:lastRow="0" w:firstColumn="1" w:lastColumn="0" w:noHBand="0" w:noVBand="1"/>
      </w:tblPr>
      <w:tblGrid>
        <w:gridCol w:w="10194"/>
      </w:tblGrid>
      <w:tr w:rsidR="00DB154F" w:rsidRPr="00DB154F" w:rsidTr="00BB07F8">
        <w:tc>
          <w:tcPr>
            <w:tcW w:w="10194" w:type="dxa"/>
            <w:shd w:val="clear" w:color="auto" w:fill="EBF9FF"/>
          </w:tcPr>
          <w:p w:rsidR="00A43E6C" w:rsidRDefault="00A43E6C" w:rsidP="00ED2988">
            <w:pPr>
              <w:spacing w:before="120" w:after="60"/>
              <w:ind w:left="113" w:right="113"/>
              <w:jc w:val="both"/>
              <w:rPr>
                <w:rFonts w:asciiTheme="minorHAnsi" w:hAnsiTheme="minorHAnsi"/>
                <w:color w:val="002060"/>
              </w:rPr>
            </w:pPr>
            <w:r w:rsidRPr="00A43E6C">
              <w:rPr>
                <w:rFonts w:asciiTheme="minorHAnsi" w:hAnsiTheme="minorHAnsi"/>
                <w:color w:val="002060"/>
              </w:rPr>
              <w:t xml:space="preserve">Plus </w:t>
            </w:r>
            <w:r>
              <w:rPr>
                <w:rFonts w:asciiTheme="minorHAnsi" w:hAnsiTheme="minorHAnsi"/>
                <w:color w:val="002060"/>
              </w:rPr>
              <w:t xml:space="preserve">le fonds de roulement sera important, plus </w:t>
            </w:r>
            <w:r w:rsidRPr="00A43E6C">
              <w:rPr>
                <w:rFonts w:asciiTheme="minorHAnsi" w:hAnsiTheme="minorHAnsi"/>
                <w:color w:val="002060"/>
              </w:rPr>
              <w:t>l'entreprise sera capable de financer son besoin de liquidités pour fonctionner.</w:t>
            </w:r>
          </w:p>
          <w:p w:rsidR="00A43E6C" w:rsidRPr="00DB154F" w:rsidRDefault="00A43E6C" w:rsidP="00ED2988">
            <w:pPr>
              <w:spacing w:before="60" w:after="120"/>
              <w:ind w:left="113" w:right="113"/>
              <w:jc w:val="both"/>
              <w:rPr>
                <w:rFonts w:ascii="Calibri" w:hAnsi="Calibri"/>
                <w:color w:val="002060"/>
              </w:rPr>
            </w:pPr>
            <w:r w:rsidRPr="00DB154F">
              <w:rPr>
                <w:rFonts w:ascii="Calibri" w:hAnsi="Calibri"/>
                <w:color w:val="002060"/>
              </w:rPr>
              <w:t xml:space="preserve">Il apparaît raisonnable que le besoin en fonds de roulement soit financé </w:t>
            </w:r>
            <w:r w:rsidRPr="00DB154F">
              <w:rPr>
                <w:rFonts w:ascii="Calibri" w:hAnsi="Calibri"/>
                <w:b/>
                <w:color w:val="002060"/>
              </w:rPr>
              <w:t>au moins pour moitié</w:t>
            </w:r>
            <w:r w:rsidRPr="00DB154F">
              <w:rPr>
                <w:rFonts w:ascii="Calibri" w:hAnsi="Calibri"/>
                <w:color w:val="002060"/>
              </w:rPr>
              <w:t xml:space="preserve"> par des ressources stables, c’est-à-dire par le fonds de roulement</w:t>
            </w:r>
            <w:r>
              <w:rPr>
                <w:rFonts w:ascii="Calibri" w:hAnsi="Calibri"/>
                <w:color w:val="002060"/>
              </w:rPr>
              <w:t>.</w:t>
            </w:r>
          </w:p>
        </w:tc>
      </w:tr>
    </w:tbl>
    <w:p w:rsidR="00024FEE" w:rsidRDefault="00024FEE" w:rsidP="0088622E">
      <w:pPr>
        <w:spacing w:after="0" w:line="240" w:lineRule="auto"/>
        <w:jc w:val="both"/>
        <w:outlineLvl w:val="1"/>
        <w:rPr>
          <w:rFonts w:eastAsia="Times New Roman" w:cs="Times New Roman"/>
          <w:bCs/>
          <w:color w:val="002060"/>
          <w:sz w:val="20"/>
          <w:szCs w:val="36"/>
          <w:lang w:eastAsia="fr-FR"/>
        </w:rPr>
      </w:pPr>
    </w:p>
    <w:p w:rsidR="003E5403" w:rsidRPr="002A058C" w:rsidRDefault="00625558" w:rsidP="0088622E">
      <w:pPr>
        <w:spacing w:after="60" w:line="240" w:lineRule="auto"/>
        <w:jc w:val="both"/>
        <w:outlineLvl w:val="1"/>
        <w:rPr>
          <w:rFonts w:eastAsia="Times New Roman" w:cs="Times New Roman"/>
          <w:b/>
          <w:bCs/>
          <w:color w:val="002060"/>
          <w:sz w:val="21"/>
          <w:szCs w:val="21"/>
          <w:lang w:eastAsia="fr-FR"/>
        </w:rPr>
      </w:pPr>
      <w:r w:rsidRPr="002A058C">
        <w:rPr>
          <w:rFonts w:eastAsia="Times New Roman" w:cs="Times New Roman"/>
          <w:b/>
          <w:bCs/>
          <w:color w:val="002060"/>
          <w:sz w:val="21"/>
          <w:szCs w:val="21"/>
          <w:lang w:eastAsia="fr-FR"/>
        </w:rPr>
        <w:t>Calcul du fonds de roulement</w:t>
      </w:r>
    </w:p>
    <w:p w:rsidR="00725695" w:rsidRDefault="003E5403" w:rsidP="00725695">
      <w:pPr>
        <w:spacing w:after="60" w:line="240" w:lineRule="auto"/>
        <w:jc w:val="both"/>
        <w:rPr>
          <w:rFonts w:eastAsia="Times New Roman" w:cs="Times New Roman"/>
          <w:color w:val="002060"/>
          <w:sz w:val="20"/>
          <w:szCs w:val="24"/>
          <w:lang w:eastAsia="fr-FR"/>
        </w:rPr>
      </w:pPr>
      <w:r w:rsidRPr="00725695">
        <w:rPr>
          <w:rFonts w:eastAsia="Times New Roman" w:cs="Times New Roman"/>
          <w:bCs/>
          <w:color w:val="002060"/>
          <w:sz w:val="20"/>
          <w:szCs w:val="24"/>
          <w:lang w:eastAsia="fr-FR"/>
        </w:rPr>
        <w:t>Le fonds de roulement est calculé</w:t>
      </w:r>
      <w:r w:rsidRPr="00725695">
        <w:rPr>
          <w:rFonts w:eastAsia="Times New Roman" w:cs="Times New Roman"/>
          <w:color w:val="002060"/>
          <w:sz w:val="20"/>
          <w:szCs w:val="24"/>
          <w:lang w:eastAsia="fr-FR"/>
        </w:rPr>
        <w:t xml:space="preserve"> de la manière suivante :</w:t>
      </w:r>
      <w:r w:rsidR="00725695">
        <w:rPr>
          <w:rFonts w:eastAsia="Times New Roman" w:cs="Times New Roman"/>
          <w:color w:val="002060"/>
          <w:sz w:val="20"/>
          <w:szCs w:val="24"/>
          <w:lang w:eastAsia="fr-FR"/>
        </w:rPr>
        <w:t xml:space="preserve"> </w:t>
      </w:r>
    </w:p>
    <w:tbl>
      <w:tblPr>
        <w:tblStyle w:val="Grilledutableau"/>
        <w:tblW w:w="0" w:type="auto"/>
        <w:tblLook w:val="04A0" w:firstRow="1" w:lastRow="0" w:firstColumn="1" w:lastColumn="0" w:noHBand="0" w:noVBand="1"/>
      </w:tblPr>
      <w:tblGrid>
        <w:gridCol w:w="10194"/>
      </w:tblGrid>
      <w:tr w:rsidR="00625558" w:rsidTr="00625558">
        <w:tc>
          <w:tcPr>
            <w:tcW w:w="10194" w:type="dxa"/>
            <w:shd w:val="clear" w:color="auto" w:fill="F2F2F2" w:themeFill="background1" w:themeFillShade="F2"/>
          </w:tcPr>
          <w:p w:rsidR="00625558" w:rsidRPr="00625558" w:rsidRDefault="00625558" w:rsidP="0088622E">
            <w:pPr>
              <w:spacing w:before="60" w:after="60"/>
              <w:jc w:val="center"/>
              <w:rPr>
                <w:rFonts w:eastAsia="Times New Roman" w:cs="Times New Roman"/>
                <w:b/>
                <w:bCs/>
                <w:color w:val="002060"/>
                <w:sz w:val="20"/>
                <w:szCs w:val="24"/>
                <w:lang w:eastAsia="fr-FR"/>
              </w:rPr>
            </w:pPr>
            <w:r w:rsidRPr="00625558">
              <w:rPr>
                <w:rFonts w:eastAsia="Times New Roman" w:cs="Times New Roman"/>
                <w:b/>
                <w:bCs/>
                <w:color w:val="002060"/>
                <w:sz w:val="20"/>
                <w:szCs w:val="24"/>
                <w:lang w:eastAsia="fr-FR"/>
              </w:rPr>
              <w:t>Fonds de roulement = (capitaux propres + capitaux empruntés à moyen et long terme) – actif immobilisé</w:t>
            </w:r>
          </w:p>
        </w:tc>
      </w:tr>
    </w:tbl>
    <w:p w:rsidR="003E5403" w:rsidRPr="003E5403" w:rsidRDefault="003E5403" w:rsidP="00284276">
      <w:pPr>
        <w:spacing w:before="120" w:after="60" w:line="240" w:lineRule="auto"/>
        <w:jc w:val="both"/>
        <w:rPr>
          <w:rFonts w:eastAsia="Times New Roman" w:cs="Times New Roman"/>
          <w:color w:val="002060"/>
          <w:sz w:val="20"/>
          <w:szCs w:val="24"/>
          <w:lang w:eastAsia="fr-FR"/>
        </w:rPr>
      </w:pPr>
      <w:r w:rsidRPr="003E5403">
        <w:rPr>
          <w:rFonts w:eastAsia="Times New Roman" w:cs="Times New Roman"/>
          <w:color w:val="002060"/>
          <w:sz w:val="20"/>
          <w:szCs w:val="24"/>
          <w:lang w:eastAsia="fr-FR"/>
        </w:rPr>
        <w:t>Voici quelques précisions sur les éléments utilisés dans ce calcul :</w:t>
      </w:r>
    </w:p>
    <w:p w:rsidR="003E5403" w:rsidRPr="003E5403" w:rsidRDefault="003E5403" w:rsidP="006812B4">
      <w:pPr>
        <w:numPr>
          <w:ilvl w:val="0"/>
          <w:numId w:val="1"/>
        </w:numPr>
        <w:spacing w:after="60" w:line="240" w:lineRule="auto"/>
        <w:ind w:left="170" w:hanging="170"/>
        <w:jc w:val="both"/>
        <w:rPr>
          <w:rFonts w:eastAsia="Times New Roman" w:cs="Times New Roman"/>
          <w:color w:val="002060"/>
          <w:sz w:val="20"/>
          <w:szCs w:val="24"/>
          <w:lang w:eastAsia="fr-FR"/>
        </w:rPr>
      </w:pPr>
      <w:r w:rsidRPr="003E5403">
        <w:rPr>
          <w:rFonts w:eastAsia="Times New Roman" w:cs="Times New Roman"/>
          <w:color w:val="002060"/>
          <w:sz w:val="20"/>
          <w:szCs w:val="24"/>
          <w:lang w:eastAsia="fr-FR"/>
        </w:rPr>
        <w:t xml:space="preserve">les </w:t>
      </w:r>
      <w:r w:rsidRPr="004F0021">
        <w:rPr>
          <w:rFonts w:eastAsia="Times New Roman" w:cs="Times New Roman"/>
          <w:color w:val="002060"/>
          <w:sz w:val="20"/>
          <w:szCs w:val="20"/>
          <w:lang w:eastAsia="fr-FR"/>
        </w:rPr>
        <w:t xml:space="preserve">capitaux propres comprennent notamment les apports en capital effectués par les associés (apports </w:t>
      </w:r>
      <w:hyperlink r:id="rId9" w:history="1">
        <w:r w:rsidRPr="004F0021">
          <w:rPr>
            <w:rFonts w:eastAsia="Times New Roman" w:cs="Times New Roman"/>
            <w:color w:val="002060"/>
            <w:sz w:val="20"/>
            <w:szCs w:val="20"/>
            <w:lang w:eastAsia="fr-FR"/>
          </w:rPr>
          <w:t>en numéraire</w:t>
        </w:r>
      </w:hyperlink>
      <w:r w:rsidRPr="004F0021">
        <w:rPr>
          <w:rFonts w:eastAsia="Times New Roman" w:cs="Times New Roman"/>
          <w:color w:val="002060"/>
          <w:sz w:val="20"/>
          <w:szCs w:val="20"/>
          <w:lang w:eastAsia="fr-FR"/>
        </w:rPr>
        <w:t xml:space="preserve"> et </w:t>
      </w:r>
      <w:hyperlink r:id="rId10" w:history="1">
        <w:r w:rsidRPr="004F0021">
          <w:rPr>
            <w:rFonts w:eastAsia="Times New Roman" w:cs="Times New Roman"/>
            <w:color w:val="002060"/>
            <w:sz w:val="20"/>
            <w:szCs w:val="20"/>
            <w:lang w:eastAsia="fr-FR"/>
          </w:rPr>
          <w:t>en nature</w:t>
        </w:r>
      </w:hyperlink>
      <w:r w:rsidRPr="004F0021">
        <w:rPr>
          <w:rFonts w:eastAsia="Times New Roman" w:cs="Times New Roman"/>
          <w:color w:val="002060"/>
          <w:sz w:val="20"/>
          <w:szCs w:val="20"/>
          <w:lang w:eastAsia="fr-FR"/>
        </w:rPr>
        <w:t>),</w:t>
      </w:r>
      <w:r w:rsidRPr="003E5403">
        <w:rPr>
          <w:rFonts w:eastAsia="Times New Roman" w:cs="Times New Roman"/>
          <w:color w:val="002060"/>
          <w:sz w:val="20"/>
          <w:szCs w:val="24"/>
          <w:lang w:eastAsia="fr-FR"/>
        </w:rPr>
        <w:t xml:space="preserve"> les réserves de l’entreprise, les primes d’émission, les autres fonds propres, les provisions pour risques et charges.</w:t>
      </w:r>
    </w:p>
    <w:p w:rsidR="003E5403" w:rsidRPr="003E5403" w:rsidRDefault="003E5403" w:rsidP="006812B4">
      <w:pPr>
        <w:numPr>
          <w:ilvl w:val="0"/>
          <w:numId w:val="1"/>
        </w:numPr>
        <w:spacing w:after="60" w:line="240" w:lineRule="auto"/>
        <w:ind w:left="170" w:hanging="170"/>
        <w:jc w:val="both"/>
        <w:rPr>
          <w:rFonts w:eastAsia="Times New Roman" w:cs="Times New Roman"/>
          <w:color w:val="002060"/>
          <w:sz w:val="20"/>
          <w:szCs w:val="24"/>
          <w:lang w:eastAsia="fr-FR"/>
        </w:rPr>
      </w:pPr>
      <w:r w:rsidRPr="003E5403">
        <w:rPr>
          <w:rFonts w:eastAsia="Times New Roman" w:cs="Times New Roman"/>
          <w:color w:val="002060"/>
          <w:sz w:val="20"/>
          <w:szCs w:val="24"/>
          <w:lang w:eastAsia="fr-FR"/>
        </w:rPr>
        <w:t xml:space="preserve">les capitaux empruntés à moyen et long terme correspondent essentiellement aux emprunts et aux </w:t>
      </w:r>
      <w:hyperlink r:id="rId11" w:history="1">
        <w:r w:rsidRPr="003E5403">
          <w:rPr>
            <w:rFonts w:eastAsia="Times New Roman" w:cs="Times New Roman"/>
            <w:color w:val="002060"/>
            <w:sz w:val="20"/>
            <w:szCs w:val="24"/>
            <w:lang w:eastAsia="fr-FR"/>
          </w:rPr>
          <w:t>comptes courant</w:t>
        </w:r>
        <w:r w:rsidR="00725695">
          <w:rPr>
            <w:rFonts w:eastAsia="Times New Roman" w:cs="Times New Roman"/>
            <w:color w:val="002060"/>
            <w:sz w:val="20"/>
            <w:szCs w:val="24"/>
            <w:lang w:eastAsia="fr-FR"/>
          </w:rPr>
          <w:t>s</w:t>
        </w:r>
        <w:r w:rsidRPr="003E5403">
          <w:rPr>
            <w:rFonts w:eastAsia="Times New Roman" w:cs="Times New Roman"/>
            <w:color w:val="002060"/>
            <w:sz w:val="20"/>
            <w:szCs w:val="24"/>
            <w:lang w:eastAsia="fr-FR"/>
          </w:rPr>
          <w:t xml:space="preserve"> d’associés</w:t>
        </w:r>
      </w:hyperlink>
      <w:r w:rsidRPr="003E5403">
        <w:rPr>
          <w:rFonts w:eastAsia="Times New Roman" w:cs="Times New Roman"/>
          <w:color w:val="002060"/>
          <w:sz w:val="20"/>
          <w:szCs w:val="24"/>
          <w:lang w:eastAsia="fr-FR"/>
        </w:rPr>
        <w:t xml:space="preserve"> bloqués sur du moyen ou long terme.</w:t>
      </w:r>
    </w:p>
    <w:p w:rsidR="003E5403" w:rsidRDefault="003E5403" w:rsidP="00C63799">
      <w:pPr>
        <w:numPr>
          <w:ilvl w:val="0"/>
          <w:numId w:val="1"/>
        </w:numPr>
        <w:spacing w:after="120" w:line="240" w:lineRule="auto"/>
        <w:ind w:left="170" w:hanging="170"/>
        <w:jc w:val="both"/>
        <w:rPr>
          <w:rFonts w:eastAsia="Times New Roman" w:cs="Times New Roman"/>
          <w:color w:val="002060"/>
          <w:sz w:val="20"/>
          <w:szCs w:val="24"/>
          <w:lang w:eastAsia="fr-FR"/>
        </w:rPr>
      </w:pPr>
      <w:r w:rsidRPr="003E5403">
        <w:rPr>
          <w:rFonts w:eastAsia="Times New Roman" w:cs="Times New Roman"/>
          <w:color w:val="002060"/>
          <w:sz w:val="20"/>
          <w:szCs w:val="24"/>
          <w:lang w:eastAsia="fr-FR"/>
        </w:rPr>
        <w:t>l’actif immobilisé est composé de toutes les immobilisations de l’entreprise : immobilisations incorporelles (fonds de commerce, marques, brevets, logiciels…), immobilisations corporelles (immeubles, terrains, véhicules, matériels et outillages…) et immobilisations financières (titres de participation, cautions…).</w:t>
      </w:r>
    </w:p>
    <w:p w:rsidR="0065242A" w:rsidRDefault="00C63799" w:rsidP="0065242A">
      <w:pPr>
        <w:spacing w:after="0" w:line="240" w:lineRule="auto"/>
        <w:ind w:left="170"/>
        <w:jc w:val="center"/>
        <w:rPr>
          <w:rFonts w:eastAsia="Times New Roman" w:cs="Times New Roman"/>
          <w:color w:val="002060"/>
          <w:sz w:val="20"/>
          <w:szCs w:val="24"/>
          <w:lang w:eastAsia="fr-FR"/>
        </w:rPr>
      </w:pPr>
      <w:r w:rsidRPr="00C63799">
        <w:rPr>
          <w:noProof/>
          <w:lang w:eastAsia="fr-FR"/>
        </w:rPr>
        <w:lastRenderedPageBreak/>
        <w:drawing>
          <wp:inline distT="0" distB="0" distL="0" distR="0">
            <wp:extent cx="4943475" cy="18288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43475" cy="1828800"/>
                    </a:xfrm>
                    <a:prstGeom prst="rect">
                      <a:avLst/>
                    </a:prstGeom>
                    <a:noFill/>
                    <a:ln>
                      <a:noFill/>
                    </a:ln>
                  </pic:spPr>
                </pic:pic>
              </a:graphicData>
            </a:graphic>
          </wp:inline>
        </w:drawing>
      </w:r>
    </w:p>
    <w:p w:rsidR="003E7060" w:rsidRPr="00625558" w:rsidRDefault="003E7060" w:rsidP="0065242A">
      <w:pPr>
        <w:pStyle w:val="Paragraphedeliste"/>
        <w:numPr>
          <w:ilvl w:val="0"/>
          <w:numId w:val="10"/>
        </w:numPr>
        <w:shd w:val="clear" w:color="auto" w:fill="FFFFFF" w:themeFill="background1"/>
        <w:spacing w:before="120" w:after="60" w:line="240" w:lineRule="auto"/>
        <w:ind w:left="170" w:hanging="170"/>
        <w:contextualSpacing w:val="0"/>
        <w:jc w:val="both"/>
        <w:rPr>
          <w:rFonts w:ascii="Calibri" w:eastAsia="Times New Roman" w:hAnsi="Calibri" w:cs="Times New Roman"/>
          <w:color w:val="002060"/>
          <w:sz w:val="20"/>
          <w:szCs w:val="20"/>
          <w:lang w:eastAsia="fr-FR"/>
        </w:rPr>
      </w:pPr>
      <w:r w:rsidRPr="00625558">
        <w:rPr>
          <w:rFonts w:ascii="Calibri" w:eastAsia="Times New Roman" w:hAnsi="Calibri" w:cs="Times New Roman"/>
          <w:color w:val="002060"/>
          <w:sz w:val="20"/>
          <w:szCs w:val="20"/>
          <w:lang w:eastAsia="fr-FR"/>
        </w:rPr>
        <w:t xml:space="preserve">Intervient ici la </w:t>
      </w:r>
      <w:r w:rsidRPr="00625558">
        <w:rPr>
          <w:rFonts w:ascii="Calibri" w:eastAsia="Times New Roman" w:hAnsi="Calibri" w:cs="Times New Roman"/>
          <w:b/>
          <w:bCs/>
          <w:color w:val="002060"/>
          <w:sz w:val="20"/>
          <w:szCs w:val="20"/>
          <w:lang w:eastAsia="fr-FR"/>
        </w:rPr>
        <w:t>notion d’endettement</w:t>
      </w:r>
      <w:r w:rsidRPr="00625558">
        <w:rPr>
          <w:rFonts w:ascii="Calibri" w:eastAsia="Times New Roman" w:hAnsi="Calibri" w:cs="Times New Roman"/>
          <w:color w:val="002060"/>
          <w:sz w:val="20"/>
          <w:szCs w:val="20"/>
          <w:lang w:eastAsia="fr-FR"/>
        </w:rPr>
        <w:t>. C’est le rapport des dettes</w:t>
      </w:r>
      <w:r w:rsidR="00676421">
        <w:rPr>
          <w:rFonts w:ascii="Calibri" w:eastAsia="Times New Roman" w:hAnsi="Calibri" w:cs="Times New Roman"/>
          <w:color w:val="002060"/>
          <w:sz w:val="20"/>
          <w:szCs w:val="20"/>
          <w:lang w:eastAsia="fr-FR"/>
        </w:rPr>
        <w:t xml:space="preserve"> financières</w:t>
      </w:r>
      <w:r w:rsidRPr="00625558">
        <w:rPr>
          <w:rFonts w:ascii="Calibri" w:eastAsia="Times New Roman" w:hAnsi="Calibri" w:cs="Times New Roman"/>
          <w:color w:val="002060"/>
          <w:sz w:val="20"/>
          <w:szCs w:val="20"/>
          <w:lang w:eastAsia="fr-FR"/>
        </w:rPr>
        <w:t xml:space="preserve"> à long</w:t>
      </w:r>
      <w:r w:rsidR="00676421">
        <w:rPr>
          <w:rFonts w:ascii="Calibri" w:eastAsia="Times New Roman" w:hAnsi="Calibri" w:cs="Times New Roman"/>
          <w:color w:val="002060"/>
          <w:sz w:val="20"/>
          <w:szCs w:val="20"/>
          <w:lang w:eastAsia="fr-FR"/>
        </w:rPr>
        <w:t xml:space="preserve"> et moyen</w:t>
      </w:r>
      <w:r w:rsidRPr="00625558">
        <w:rPr>
          <w:rFonts w:ascii="Calibri" w:eastAsia="Times New Roman" w:hAnsi="Calibri" w:cs="Times New Roman"/>
          <w:color w:val="002060"/>
          <w:sz w:val="20"/>
          <w:szCs w:val="20"/>
          <w:lang w:eastAsia="fr-FR"/>
        </w:rPr>
        <w:t xml:space="preserve"> terme (plus d’un an) sur les capitaux propres de l’entreprise. Plus ce ratio est faible, plus l’entreprise est indépendante, plus le risque financier est faible et plus la capacité d’emprunt est forte. Il est préférable que ce ratio soit inférieur à 1.</w:t>
      </w:r>
    </w:p>
    <w:p w:rsidR="003E7060" w:rsidRPr="003E7060" w:rsidRDefault="003E7060" w:rsidP="00625558">
      <w:pPr>
        <w:shd w:val="clear" w:color="auto" w:fill="FFFFFF" w:themeFill="background1"/>
        <w:spacing w:after="60" w:line="240" w:lineRule="auto"/>
        <w:ind w:left="170"/>
        <w:jc w:val="both"/>
        <w:rPr>
          <w:rFonts w:ascii="Calibri" w:eastAsia="Times New Roman" w:hAnsi="Calibri" w:cs="Times New Roman"/>
          <w:color w:val="002060"/>
          <w:sz w:val="20"/>
          <w:szCs w:val="20"/>
          <w:lang w:eastAsia="fr-FR"/>
        </w:rPr>
      </w:pPr>
      <w:r w:rsidRPr="003E7060">
        <w:rPr>
          <w:rFonts w:ascii="Calibri" w:eastAsia="Times New Roman" w:hAnsi="Calibri" w:cs="Times New Roman"/>
          <w:color w:val="002060"/>
          <w:sz w:val="20"/>
          <w:szCs w:val="20"/>
          <w:lang w:eastAsia="fr-FR"/>
        </w:rPr>
        <w:t>Le montant des capitaux propres conditionne le niveau des possibilités d’emprunt et les limites qu’une entreprise ne doit pas dépasser.</w:t>
      </w:r>
    </w:p>
    <w:p w:rsidR="003E7060" w:rsidRPr="003E7060" w:rsidRDefault="003E7060" w:rsidP="00625558">
      <w:pPr>
        <w:shd w:val="clear" w:color="auto" w:fill="FFFFFF" w:themeFill="background1"/>
        <w:spacing w:after="120" w:line="240" w:lineRule="auto"/>
        <w:ind w:left="170"/>
        <w:jc w:val="both"/>
        <w:rPr>
          <w:rFonts w:ascii="Calibri" w:eastAsia="Times New Roman" w:hAnsi="Calibri" w:cs="Times New Roman"/>
          <w:color w:val="002060"/>
          <w:sz w:val="20"/>
          <w:szCs w:val="20"/>
          <w:lang w:eastAsia="fr-FR"/>
        </w:rPr>
      </w:pPr>
      <w:r w:rsidRPr="003E7060">
        <w:rPr>
          <w:rFonts w:ascii="Calibri" w:eastAsia="Times New Roman" w:hAnsi="Calibri" w:cs="Times New Roman"/>
          <w:color w:val="002060"/>
          <w:sz w:val="20"/>
          <w:szCs w:val="20"/>
          <w:lang w:eastAsia="fr-FR"/>
        </w:rPr>
        <w:t xml:space="preserve">Si les dettes financières sont </w:t>
      </w:r>
      <w:r w:rsidRPr="003E7060">
        <w:rPr>
          <w:rFonts w:ascii="Calibri" w:eastAsia="Times New Roman" w:hAnsi="Calibri" w:cs="Times New Roman"/>
          <w:b/>
          <w:color w:val="002060"/>
          <w:sz w:val="20"/>
          <w:szCs w:val="20"/>
          <w:lang w:eastAsia="fr-FR"/>
        </w:rPr>
        <w:t xml:space="preserve">trop élevées </w:t>
      </w:r>
      <w:r w:rsidRPr="003E7060">
        <w:rPr>
          <w:rFonts w:ascii="Calibri" w:eastAsia="Times New Roman" w:hAnsi="Calibri" w:cs="Times New Roman"/>
          <w:color w:val="002060"/>
          <w:sz w:val="20"/>
          <w:szCs w:val="20"/>
          <w:lang w:eastAsia="fr-FR"/>
        </w:rPr>
        <w:t>par rapport aux capitaux propres, elles fragilisent sa situation financière et en cas de difficultés imprévues (retournement, défaillance d’un gros client….), l’entreprise risque de disparaître</w:t>
      </w:r>
    </w:p>
    <w:p w:rsidR="003E5403" w:rsidRPr="00625558" w:rsidRDefault="003E5403" w:rsidP="003F1F09">
      <w:pPr>
        <w:pStyle w:val="Paragraphedeliste"/>
        <w:numPr>
          <w:ilvl w:val="0"/>
          <w:numId w:val="10"/>
        </w:numPr>
        <w:spacing w:after="120" w:line="240" w:lineRule="auto"/>
        <w:ind w:left="170" w:hanging="170"/>
        <w:contextualSpacing w:val="0"/>
        <w:jc w:val="both"/>
        <w:rPr>
          <w:rFonts w:eastAsia="Times New Roman" w:cs="Times New Roman"/>
          <w:color w:val="002060"/>
          <w:sz w:val="20"/>
          <w:szCs w:val="20"/>
          <w:lang w:eastAsia="fr-FR"/>
        </w:rPr>
      </w:pPr>
      <w:r w:rsidRPr="00625558">
        <w:rPr>
          <w:rFonts w:eastAsia="Times New Roman" w:cs="Times New Roman"/>
          <w:color w:val="002060"/>
          <w:sz w:val="20"/>
          <w:szCs w:val="20"/>
          <w:lang w:eastAsia="fr-FR"/>
        </w:rPr>
        <w:t xml:space="preserve">Un </w:t>
      </w:r>
      <w:r w:rsidRPr="00625558">
        <w:rPr>
          <w:rFonts w:eastAsia="Times New Roman" w:cs="Times New Roman"/>
          <w:b/>
          <w:bCs/>
          <w:color w:val="002060"/>
          <w:sz w:val="20"/>
          <w:szCs w:val="20"/>
          <w:lang w:eastAsia="fr-FR"/>
        </w:rPr>
        <w:t>fonds de roulement négatif</w:t>
      </w:r>
      <w:r w:rsidRPr="00625558">
        <w:rPr>
          <w:rFonts w:eastAsia="Times New Roman" w:cs="Times New Roman"/>
          <w:color w:val="002060"/>
          <w:sz w:val="20"/>
          <w:szCs w:val="20"/>
          <w:lang w:eastAsia="fr-FR"/>
        </w:rPr>
        <w:t xml:space="preserve"> traduit un risque financier important, </w:t>
      </w:r>
      <w:r w:rsidR="00625558" w:rsidRPr="003E5403">
        <w:rPr>
          <w:rFonts w:eastAsia="Times New Roman" w:cs="Times New Roman"/>
          <w:color w:val="002060"/>
          <w:sz w:val="20"/>
          <w:szCs w:val="20"/>
          <w:lang w:eastAsia="fr-FR"/>
        </w:rPr>
        <w:t>l'entreprise pourrait se retrouver dans l'incapacité de rembourser ses dettes</w:t>
      </w:r>
      <w:r w:rsidR="00625558">
        <w:rPr>
          <w:rFonts w:eastAsia="Times New Roman" w:cs="Times New Roman"/>
          <w:color w:val="002060"/>
          <w:sz w:val="20"/>
          <w:szCs w:val="20"/>
          <w:lang w:eastAsia="fr-FR"/>
        </w:rPr>
        <w:t xml:space="preserve"> à court terme</w:t>
      </w:r>
      <w:r w:rsidR="00625558" w:rsidRPr="003E5403">
        <w:rPr>
          <w:rFonts w:eastAsia="Times New Roman" w:cs="Times New Roman"/>
          <w:color w:val="002060"/>
          <w:sz w:val="20"/>
          <w:szCs w:val="20"/>
          <w:lang w:eastAsia="fr-FR"/>
        </w:rPr>
        <w:t xml:space="preserve"> à cause du manque de disponibilités, ce qui équiv</w:t>
      </w:r>
      <w:r w:rsidR="00625558">
        <w:rPr>
          <w:rFonts w:eastAsia="Times New Roman" w:cs="Times New Roman"/>
          <w:color w:val="002060"/>
          <w:sz w:val="20"/>
          <w:szCs w:val="20"/>
          <w:lang w:eastAsia="fr-FR"/>
        </w:rPr>
        <w:t>aut à une cessation de paiement</w:t>
      </w:r>
      <w:r w:rsidRPr="00625558">
        <w:rPr>
          <w:rFonts w:eastAsia="Times New Roman" w:cs="Times New Roman"/>
          <w:color w:val="002060"/>
          <w:sz w:val="20"/>
          <w:szCs w:val="20"/>
          <w:lang w:eastAsia="fr-FR"/>
        </w:rPr>
        <w:t xml:space="preserve">. Une solution doit être trouvée pour rétablir le fonds de roulement de l’entreprise, par un nouveau financement : nouvel </w:t>
      </w:r>
      <w:hyperlink r:id="rId13" w:history="1">
        <w:r w:rsidRPr="00625558">
          <w:rPr>
            <w:rFonts w:eastAsia="Times New Roman" w:cs="Times New Roman"/>
            <w:color w:val="002060"/>
            <w:sz w:val="20"/>
            <w:szCs w:val="20"/>
            <w:lang w:eastAsia="fr-FR"/>
          </w:rPr>
          <w:t>apport en capital social</w:t>
        </w:r>
      </w:hyperlink>
      <w:r w:rsidRPr="00625558">
        <w:rPr>
          <w:rFonts w:eastAsia="Times New Roman" w:cs="Times New Roman"/>
          <w:color w:val="002060"/>
          <w:sz w:val="20"/>
          <w:szCs w:val="20"/>
          <w:lang w:eastAsia="fr-FR"/>
        </w:rPr>
        <w:t xml:space="preserve">, apport en compte courant d’associé, souscription d’un emprunt… ou par la cession d’actifs. Même si l’entreprise trouve des solutions à court terme en </w:t>
      </w:r>
      <w:hyperlink r:id="rId14" w:history="1">
        <w:r w:rsidRPr="00625558">
          <w:rPr>
            <w:rFonts w:eastAsia="Times New Roman" w:cs="Times New Roman"/>
            <w:color w:val="002060"/>
            <w:sz w:val="20"/>
            <w:szCs w:val="20"/>
            <w:lang w:eastAsia="fr-FR"/>
          </w:rPr>
          <w:t>améliorant son besoin en fonds de roulement</w:t>
        </w:r>
      </w:hyperlink>
      <w:r w:rsidRPr="00625558">
        <w:rPr>
          <w:rFonts w:eastAsia="Times New Roman" w:cs="Times New Roman"/>
          <w:color w:val="002060"/>
          <w:sz w:val="20"/>
          <w:szCs w:val="20"/>
          <w:lang w:eastAsia="fr-FR"/>
        </w:rPr>
        <w:t>, cette solution n’est que temporaire.</w:t>
      </w:r>
    </w:p>
    <w:p w:rsidR="009B524D" w:rsidRPr="002A058C" w:rsidRDefault="009B524D" w:rsidP="0088622E">
      <w:pPr>
        <w:spacing w:after="60" w:line="240" w:lineRule="auto"/>
        <w:jc w:val="both"/>
        <w:outlineLvl w:val="1"/>
        <w:rPr>
          <w:rFonts w:eastAsia="Times New Roman" w:cs="Times New Roman"/>
          <w:b/>
          <w:bCs/>
          <w:color w:val="002060"/>
          <w:sz w:val="21"/>
          <w:szCs w:val="21"/>
          <w:lang w:eastAsia="fr-FR"/>
        </w:rPr>
      </w:pPr>
      <w:r w:rsidRPr="002A058C">
        <w:rPr>
          <w:rFonts w:eastAsia="Times New Roman" w:cs="Times New Roman"/>
          <w:b/>
          <w:bCs/>
          <w:color w:val="002060"/>
          <w:sz w:val="21"/>
          <w:szCs w:val="21"/>
          <w:lang w:eastAsia="fr-FR"/>
        </w:rPr>
        <w:t>Les moyens d’accroître le fonds de roulement</w:t>
      </w:r>
    </w:p>
    <w:p w:rsidR="0088622E" w:rsidRDefault="00B438C6" w:rsidP="0088622E">
      <w:pPr>
        <w:pStyle w:val="Paragraphedeliste"/>
        <w:numPr>
          <w:ilvl w:val="0"/>
          <w:numId w:val="3"/>
        </w:numPr>
        <w:spacing w:after="60" w:line="240" w:lineRule="auto"/>
        <w:ind w:left="170" w:hanging="170"/>
        <w:contextualSpacing w:val="0"/>
        <w:jc w:val="both"/>
        <w:outlineLvl w:val="1"/>
        <w:rPr>
          <w:rFonts w:eastAsia="Times New Roman" w:cs="Times New Roman"/>
          <w:b/>
          <w:bCs/>
          <w:color w:val="002060"/>
          <w:sz w:val="20"/>
          <w:szCs w:val="20"/>
          <w:lang w:eastAsia="fr-FR"/>
        </w:rPr>
      </w:pPr>
      <w:r>
        <w:rPr>
          <w:rFonts w:eastAsia="Times New Roman" w:cs="Times New Roman"/>
          <w:b/>
          <w:bCs/>
          <w:color w:val="002060"/>
          <w:sz w:val="20"/>
          <w:szCs w:val="20"/>
          <w:lang w:eastAsia="fr-FR"/>
        </w:rPr>
        <w:t xml:space="preserve"> </w:t>
      </w:r>
      <w:r w:rsidR="009B524D">
        <w:rPr>
          <w:rFonts w:eastAsia="Times New Roman" w:cs="Times New Roman"/>
          <w:b/>
          <w:bCs/>
          <w:color w:val="002060"/>
          <w:sz w:val="20"/>
          <w:szCs w:val="20"/>
          <w:lang w:eastAsia="fr-FR"/>
        </w:rPr>
        <w:t>Accroître les ressources :</w:t>
      </w:r>
    </w:p>
    <w:p w:rsidR="0088622E" w:rsidRPr="0088622E" w:rsidRDefault="003374B2" w:rsidP="0088622E">
      <w:pPr>
        <w:pStyle w:val="Paragraphedeliste"/>
        <w:numPr>
          <w:ilvl w:val="0"/>
          <w:numId w:val="1"/>
        </w:numPr>
        <w:spacing w:after="60" w:line="240" w:lineRule="auto"/>
        <w:ind w:left="340" w:hanging="170"/>
        <w:contextualSpacing w:val="0"/>
        <w:jc w:val="both"/>
        <w:outlineLvl w:val="1"/>
        <w:rPr>
          <w:rFonts w:eastAsia="Times New Roman" w:cs="Times New Roman"/>
          <w:b/>
          <w:bCs/>
          <w:color w:val="002060"/>
          <w:sz w:val="20"/>
          <w:szCs w:val="20"/>
          <w:lang w:eastAsia="fr-FR"/>
        </w:rPr>
      </w:pPr>
      <w:r w:rsidRPr="0088622E">
        <w:rPr>
          <w:rFonts w:eastAsia="Times New Roman" w:cs="Times New Roman"/>
          <w:bCs/>
          <w:color w:val="002060"/>
          <w:sz w:val="20"/>
          <w:szCs w:val="20"/>
          <w:lang w:eastAsia="fr-FR"/>
        </w:rPr>
        <w:t>En</w:t>
      </w:r>
      <w:r w:rsidR="009B524D" w:rsidRPr="0088622E">
        <w:rPr>
          <w:rFonts w:eastAsia="Times New Roman" w:cs="Times New Roman"/>
          <w:bCs/>
          <w:color w:val="002060"/>
          <w:sz w:val="20"/>
          <w:szCs w:val="20"/>
          <w:lang w:eastAsia="fr-FR"/>
        </w:rPr>
        <w:t xml:space="preserve"> améliora</w:t>
      </w:r>
      <w:r w:rsidRPr="0088622E">
        <w:rPr>
          <w:rFonts w:eastAsia="Times New Roman" w:cs="Times New Roman"/>
          <w:bCs/>
          <w:color w:val="002060"/>
          <w:sz w:val="20"/>
          <w:szCs w:val="20"/>
          <w:lang w:eastAsia="fr-FR"/>
        </w:rPr>
        <w:t>nt</w:t>
      </w:r>
      <w:r w:rsidR="009B524D" w:rsidRPr="0088622E">
        <w:rPr>
          <w:rFonts w:eastAsia="Times New Roman" w:cs="Times New Roman"/>
          <w:bCs/>
          <w:color w:val="002060"/>
          <w:sz w:val="20"/>
          <w:szCs w:val="20"/>
          <w:lang w:eastAsia="fr-FR"/>
        </w:rPr>
        <w:t xml:space="preserve"> de la rentabilité</w:t>
      </w:r>
      <w:r w:rsidRPr="0088622E">
        <w:rPr>
          <w:rFonts w:eastAsia="Times New Roman" w:cs="Times New Roman"/>
          <w:bCs/>
          <w:color w:val="002060"/>
          <w:sz w:val="20"/>
          <w:szCs w:val="20"/>
          <w:lang w:eastAsia="fr-FR"/>
        </w:rPr>
        <w:t xml:space="preserve"> par une gestion rigoureuse pour dégager le meilleur résultat possible,</w:t>
      </w:r>
    </w:p>
    <w:p w:rsidR="0088622E" w:rsidRPr="0088622E" w:rsidRDefault="003374B2" w:rsidP="0088622E">
      <w:pPr>
        <w:pStyle w:val="Paragraphedeliste"/>
        <w:numPr>
          <w:ilvl w:val="0"/>
          <w:numId w:val="1"/>
        </w:numPr>
        <w:spacing w:after="60" w:line="240" w:lineRule="auto"/>
        <w:ind w:left="340" w:hanging="170"/>
        <w:contextualSpacing w:val="0"/>
        <w:jc w:val="both"/>
        <w:outlineLvl w:val="1"/>
        <w:rPr>
          <w:rFonts w:eastAsia="Times New Roman" w:cs="Times New Roman"/>
          <w:b/>
          <w:bCs/>
          <w:color w:val="002060"/>
          <w:sz w:val="20"/>
          <w:szCs w:val="20"/>
          <w:lang w:eastAsia="fr-FR"/>
        </w:rPr>
      </w:pPr>
      <w:r w:rsidRPr="0088622E">
        <w:rPr>
          <w:rFonts w:eastAsia="Times New Roman" w:cs="Times New Roman"/>
          <w:bCs/>
          <w:color w:val="002060"/>
          <w:sz w:val="20"/>
          <w:szCs w:val="20"/>
          <w:lang w:eastAsia="fr-FR"/>
        </w:rPr>
        <w:t>En acceptant d’en réinvestir la plus grande partie dans l’entreprise en ne distribuant que le minimum de dividendes,</w:t>
      </w:r>
    </w:p>
    <w:p w:rsidR="0088622E" w:rsidRPr="0088622E" w:rsidRDefault="009B524D" w:rsidP="0088622E">
      <w:pPr>
        <w:pStyle w:val="Paragraphedeliste"/>
        <w:numPr>
          <w:ilvl w:val="0"/>
          <w:numId w:val="1"/>
        </w:numPr>
        <w:spacing w:after="60" w:line="240" w:lineRule="auto"/>
        <w:ind w:left="340" w:hanging="170"/>
        <w:contextualSpacing w:val="0"/>
        <w:jc w:val="both"/>
        <w:outlineLvl w:val="1"/>
        <w:rPr>
          <w:rFonts w:eastAsia="Times New Roman" w:cs="Times New Roman"/>
          <w:b/>
          <w:bCs/>
          <w:color w:val="002060"/>
          <w:sz w:val="20"/>
          <w:szCs w:val="20"/>
          <w:lang w:eastAsia="fr-FR"/>
        </w:rPr>
      </w:pPr>
      <w:r w:rsidRPr="0088622E">
        <w:rPr>
          <w:rFonts w:eastAsia="Times New Roman" w:cs="Times New Roman"/>
          <w:bCs/>
          <w:color w:val="002060"/>
          <w:sz w:val="20"/>
          <w:szCs w:val="20"/>
          <w:lang w:eastAsia="fr-FR"/>
        </w:rPr>
        <w:t>Par apport de fonds propres en capital ou en comptes courants par les associés</w:t>
      </w:r>
      <w:r w:rsidR="008334B2" w:rsidRPr="0088622E">
        <w:rPr>
          <w:rFonts w:eastAsia="Times New Roman" w:cs="Times New Roman"/>
          <w:bCs/>
          <w:color w:val="002060"/>
          <w:sz w:val="20"/>
          <w:szCs w:val="20"/>
          <w:lang w:eastAsia="fr-FR"/>
        </w:rPr>
        <w:t>,</w:t>
      </w:r>
    </w:p>
    <w:p w:rsidR="0088622E" w:rsidRPr="0088622E" w:rsidRDefault="009B524D" w:rsidP="0088622E">
      <w:pPr>
        <w:pStyle w:val="Paragraphedeliste"/>
        <w:numPr>
          <w:ilvl w:val="0"/>
          <w:numId w:val="1"/>
        </w:numPr>
        <w:spacing w:after="60" w:line="240" w:lineRule="auto"/>
        <w:ind w:left="340" w:hanging="170"/>
        <w:contextualSpacing w:val="0"/>
        <w:jc w:val="both"/>
        <w:outlineLvl w:val="1"/>
        <w:rPr>
          <w:rFonts w:eastAsia="Times New Roman" w:cs="Times New Roman"/>
          <w:b/>
          <w:bCs/>
          <w:color w:val="002060"/>
          <w:sz w:val="20"/>
          <w:szCs w:val="20"/>
          <w:lang w:eastAsia="fr-FR"/>
        </w:rPr>
      </w:pPr>
      <w:r w:rsidRPr="0088622E">
        <w:rPr>
          <w:rFonts w:eastAsia="Times New Roman" w:cs="Times New Roman"/>
          <w:bCs/>
          <w:color w:val="002060"/>
          <w:sz w:val="20"/>
          <w:szCs w:val="20"/>
          <w:lang w:eastAsia="fr-FR"/>
        </w:rPr>
        <w:t>Par refinancement à moyen terme des investissements</w:t>
      </w:r>
      <w:r w:rsidR="008334B2" w:rsidRPr="0088622E">
        <w:rPr>
          <w:rFonts w:eastAsia="Times New Roman" w:cs="Times New Roman"/>
          <w:bCs/>
          <w:color w:val="002060"/>
          <w:sz w:val="20"/>
          <w:szCs w:val="20"/>
          <w:lang w:eastAsia="fr-FR"/>
        </w:rPr>
        <w:t>,</w:t>
      </w:r>
    </w:p>
    <w:p w:rsidR="0088622E" w:rsidRPr="0088622E" w:rsidRDefault="00AC03D6" w:rsidP="0088622E">
      <w:pPr>
        <w:pStyle w:val="Paragraphedeliste"/>
        <w:numPr>
          <w:ilvl w:val="0"/>
          <w:numId w:val="1"/>
        </w:numPr>
        <w:spacing w:after="60" w:line="240" w:lineRule="auto"/>
        <w:ind w:left="340" w:hanging="170"/>
        <w:contextualSpacing w:val="0"/>
        <w:jc w:val="both"/>
        <w:outlineLvl w:val="1"/>
        <w:rPr>
          <w:rFonts w:eastAsia="Times New Roman" w:cs="Times New Roman"/>
          <w:b/>
          <w:bCs/>
          <w:color w:val="002060"/>
          <w:sz w:val="20"/>
          <w:szCs w:val="20"/>
          <w:lang w:eastAsia="fr-FR"/>
        </w:rPr>
      </w:pPr>
      <w:r w:rsidRPr="0088622E">
        <w:rPr>
          <w:rFonts w:eastAsia="Times New Roman" w:cs="Times New Roman"/>
          <w:bCs/>
          <w:color w:val="002060"/>
          <w:sz w:val="20"/>
          <w:szCs w:val="20"/>
          <w:lang w:eastAsia="fr-FR"/>
        </w:rPr>
        <w:t>En remplaçant les crédits à court terme par du moyen terme chaque fois que c’est possible</w:t>
      </w:r>
      <w:r w:rsidR="008334B2" w:rsidRPr="0088622E">
        <w:rPr>
          <w:rFonts w:eastAsia="Times New Roman" w:cs="Times New Roman"/>
          <w:bCs/>
          <w:color w:val="002060"/>
          <w:sz w:val="20"/>
          <w:szCs w:val="20"/>
          <w:lang w:eastAsia="fr-FR"/>
        </w:rPr>
        <w:t>,</w:t>
      </w:r>
    </w:p>
    <w:p w:rsidR="000C3F6F" w:rsidRPr="0088622E" w:rsidRDefault="000C3F6F" w:rsidP="003F1F09">
      <w:pPr>
        <w:pStyle w:val="Paragraphedeliste"/>
        <w:numPr>
          <w:ilvl w:val="0"/>
          <w:numId w:val="1"/>
        </w:numPr>
        <w:spacing w:after="120" w:line="240" w:lineRule="auto"/>
        <w:ind w:left="340" w:hanging="170"/>
        <w:contextualSpacing w:val="0"/>
        <w:jc w:val="both"/>
        <w:outlineLvl w:val="1"/>
        <w:rPr>
          <w:rFonts w:eastAsia="Times New Roman" w:cs="Times New Roman"/>
          <w:b/>
          <w:bCs/>
          <w:color w:val="002060"/>
          <w:sz w:val="20"/>
          <w:szCs w:val="20"/>
          <w:lang w:eastAsia="fr-FR"/>
        </w:rPr>
      </w:pPr>
      <w:r w:rsidRPr="0088622E">
        <w:rPr>
          <w:rFonts w:eastAsia="Times New Roman" w:cs="Times New Roman"/>
          <w:bCs/>
          <w:color w:val="002060"/>
          <w:sz w:val="20"/>
          <w:szCs w:val="20"/>
          <w:lang w:eastAsia="fr-FR"/>
        </w:rPr>
        <w:t>En obtenant des subventions d’investissement ou des avances remboursables de la part des collectivités publique</w:t>
      </w:r>
      <w:r w:rsidR="008334B2" w:rsidRPr="0088622E">
        <w:rPr>
          <w:rFonts w:eastAsia="Times New Roman" w:cs="Times New Roman"/>
          <w:bCs/>
          <w:color w:val="002060"/>
          <w:sz w:val="20"/>
          <w:szCs w:val="20"/>
          <w:lang w:eastAsia="fr-FR"/>
        </w:rPr>
        <w:t>s.</w:t>
      </w:r>
    </w:p>
    <w:p w:rsidR="0088622E" w:rsidRDefault="00B438C6" w:rsidP="0088622E">
      <w:pPr>
        <w:pStyle w:val="Paragraphedeliste"/>
        <w:numPr>
          <w:ilvl w:val="0"/>
          <w:numId w:val="3"/>
        </w:numPr>
        <w:spacing w:after="60" w:line="240" w:lineRule="auto"/>
        <w:ind w:left="170" w:hanging="170"/>
        <w:contextualSpacing w:val="0"/>
        <w:jc w:val="both"/>
        <w:outlineLvl w:val="1"/>
        <w:rPr>
          <w:rFonts w:eastAsia="Times New Roman" w:cs="Times New Roman"/>
          <w:b/>
          <w:bCs/>
          <w:color w:val="002060"/>
          <w:sz w:val="20"/>
          <w:szCs w:val="20"/>
          <w:lang w:eastAsia="fr-FR"/>
        </w:rPr>
      </w:pPr>
      <w:r>
        <w:rPr>
          <w:rFonts w:eastAsia="Times New Roman" w:cs="Times New Roman"/>
          <w:b/>
          <w:bCs/>
          <w:color w:val="002060"/>
          <w:sz w:val="20"/>
          <w:szCs w:val="20"/>
          <w:lang w:eastAsia="fr-FR"/>
        </w:rPr>
        <w:t xml:space="preserve"> </w:t>
      </w:r>
      <w:r w:rsidR="003374B2">
        <w:rPr>
          <w:rFonts w:eastAsia="Times New Roman" w:cs="Times New Roman"/>
          <w:b/>
          <w:bCs/>
          <w:color w:val="002060"/>
          <w:sz w:val="20"/>
          <w:szCs w:val="20"/>
          <w:lang w:eastAsia="fr-FR"/>
        </w:rPr>
        <w:t>Réduire les</w:t>
      </w:r>
      <w:r w:rsidR="009B524D">
        <w:rPr>
          <w:rFonts w:eastAsia="Times New Roman" w:cs="Times New Roman"/>
          <w:b/>
          <w:bCs/>
          <w:color w:val="002060"/>
          <w:sz w:val="20"/>
          <w:szCs w:val="20"/>
          <w:lang w:eastAsia="fr-FR"/>
        </w:rPr>
        <w:t xml:space="preserve"> emplois</w:t>
      </w:r>
    </w:p>
    <w:p w:rsidR="0088622E" w:rsidRPr="0088622E" w:rsidRDefault="003374B2" w:rsidP="0088622E">
      <w:pPr>
        <w:pStyle w:val="Paragraphedeliste"/>
        <w:numPr>
          <w:ilvl w:val="0"/>
          <w:numId w:val="1"/>
        </w:numPr>
        <w:spacing w:after="60" w:line="240" w:lineRule="auto"/>
        <w:ind w:left="340" w:hanging="170"/>
        <w:contextualSpacing w:val="0"/>
        <w:jc w:val="both"/>
        <w:outlineLvl w:val="1"/>
        <w:rPr>
          <w:rFonts w:eastAsia="Times New Roman" w:cs="Times New Roman"/>
          <w:b/>
          <w:bCs/>
          <w:color w:val="002060"/>
          <w:sz w:val="20"/>
          <w:szCs w:val="20"/>
          <w:lang w:eastAsia="fr-FR"/>
        </w:rPr>
      </w:pPr>
      <w:r w:rsidRPr="0088622E">
        <w:rPr>
          <w:rFonts w:eastAsia="Times New Roman" w:cs="Times New Roman"/>
          <w:bCs/>
          <w:color w:val="002060"/>
          <w:sz w:val="20"/>
          <w:szCs w:val="20"/>
          <w:lang w:eastAsia="fr-FR"/>
        </w:rPr>
        <w:t>En éliminant les biens qui ne sont pas indispensables à l’exploitation,</w:t>
      </w:r>
    </w:p>
    <w:p w:rsidR="0088622E" w:rsidRPr="0088622E" w:rsidRDefault="003374B2" w:rsidP="0088622E">
      <w:pPr>
        <w:pStyle w:val="Paragraphedeliste"/>
        <w:numPr>
          <w:ilvl w:val="0"/>
          <w:numId w:val="1"/>
        </w:numPr>
        <w:spacing w:after="60" w:line="240" w:lineRule="auto"/>
        <w:ind w:left="340" w:hanging="170"/>
        <w:contextualSpacing w:val="0"/>
        <w:jc w:val="both"/>
        <w:outlineLvl w:val="1"/>
        <w:rPr>
          <w:rFonts w:eastAsia="Times New Roman" w:cs="Times New Roman"/>
          <w:b/>
          <w:bCs/>
          <w:color w:val="002060"/>
          <w:sz w:val="20"/>
          <w:szCs w:val="20"/>
          <w:lang w:eastAsia="fr-FR"/>
        </w:rPr>
      </w:pPr>
      <w:r w:rsidRPr="0088622E">
        <w:rPr>
          <w:rFonts w:eastAsia="Times New Roman" w:cs="Times New Roman"/>
          <w:bCs/>
          <w:color w:val="002060"/>
          <w:sz w:val="20"/>
          <w:szCs w:val="20"/>
          <w:lang w:eastAsia="fr-FR"/>
        </w:rPr>
        <w:t>En envisageant de louer plutôt que d’acheter</w:t>
      </w:r>
      <w:r w:rsidR="00AC03D6" w:rsidRPr="0088622E">
        <w:rPr>
          <w:rFonts w:eastAsia="Times New Roman" w:cs="Times New Roman"/>
          <w:bCs/>
          <w:color w:val="002060"/>
          <w:sz w:val="20"/>
          <w:szCs w:val="20"/>
          <w:lang w:eastAsia="fr-FR"/>
        </w:rPr>
        <w:t xml:space="preserve"> certains biens</w:t>
      </w:r>
      <w:r w:rsidR="008334B2" w:rsidRPr="0088622E">
        <w:rPr>
          <w:rFonts w:eastAsia="Times New Roman" w:cs="Times New Roman"/>
          <w:bCs/>
          <w:color w:val="002060"/>
          <w:sz w:val="20"/>
          <w:szCs w:val="20"/>
          <w:lang w:eastAsia="fr-FR"/>
        </w:rPr>
        <w:t>,</w:t>
      </w:r>
    </w:p>
    <w:p w:rsidR="0088622E" w:rsidRPr="0088622E" w:rsidRDefault="00AC03D6" w:rsidP="0088622E">
      <w:pPr>
        <w:pStyle w:val="Paragraphedeliste"/>
        <w:numPr>
          <w:ilvl w:val="0"/>
          <w:numId w:val="1"/>
        </w:numPr>
        <w:spacing w:after="60" w:line="240" w:lineRule="auto"/>
        <w:ind w:left="340" w:hanging="170"/>
        <w:contextualSpacing w:val="0"/>
        <w:jc w:val="both"/>
        <w:outlineLvl w:val="1"/>
        <w:rPr>
          <w:rFonts w:eastAsia="Times New Roman" w:cs="Times New Roman"/>
          <w:b/>
          <w:bCs/>
          <w:color w:val="002060"/>
          <w:sz w:val="20"/>
          <w:szCs w:val="20"/>
          <w:lang w:eastAsia="fr-FR"/>
        </w:rPr>
      </w:pPr>
      <w:r w:rsidRPr="0088622E">
        <w:rPr>
          <w:rFonts w:eastAsia="Times New Roman" w:cs="Times New Roman"/>
          <w:bCs/>
          <w:color w:val="002060"/>
          <w:sz w:val="20"/>
          <w:szCs w:val="20"/>
          <w:lang w:eastAsia="fr-FR"/>
        </w:rPr>
        <w:t>En finançant les investissements par crédit-bail</w:t>
      </w:r>
      <w:r w:rsidR="008334B2" w:rsidRPr="0088622E">
        <w:rPr>
          <w:rFonts w:eastAsia="Times New Roman" w:cs="Times New Roman"/>
          <w:bCs/>
          <w:color w:val="002060"/>
          <w:sz w:val="20"/>
          <w:szCs w:val="20"/>
          <w:lang w:eastAsia="fr-FR"/>
        </w:rPr>
        <w:t>,</w:t>
      </w:r>
    </w:p>
    <w:p w:rsidR="00AC03D6" w:rsidRPr="0088622E" w:rsidRDefault="00AC03D6" w:rsidP="003F1F09">
      <w:pPr>
        <w:pStyle w:val="Paragraphedeliste"/>
        <w:numPr>
          <w:ilvl w:val="0"/>
          <w:numId w:val="1"/>
        </w:numPr>
        <w:spacing w:after="120" w:line="240" w:lineRule="auto"/>
        <w:ind w:left="340" w:hanging="170"/>
        <w:contextualSpacing w:val="0"/>
        <w:jc w:val="both"/>
        <w:outlineLvl w:val="1"/>
        <w:rPr>
          <w:rFonts w:eastAsia="Times New Roman" w:cs="Times New Roman"/>
          <w:b/>
          <w:bCs/>
          <w:color w:val="002060"/>
          <w:sz w:val="20"/>
          <w:szCs w:val="20"/>
          <w:lang w:eastAsia="fr-FR"/>
        </w:rPr>
      </w:pPr>
      <w:r w:rsidRPr="0088622E">
        <w:rPr>
          <w:rFonts w:eastAsia="Times New Roman" w:cs="Times New Roman"/>
          <w:bCs/>
          <w:color w:val="002060"/>
          <w:sz w:val="20"/>
          <w:szCs w:val="20"/>
          <w:lang w:eastAsia="fr-FR"/>
        </w:rPr>
        <w:t xml:space="preserve">Par cession d’actifs via une opération de lease-back ou </w:t>
      </w:r>
      <w:r w:rsidR="000C3F6F" w:rsidRPr="0088622E">
        <w:rPr>
          <w:rFonts w:eastAsia="Times New Roman" w:cs="Times New Roman"/>
          <w:bCs/>
          <w:color w:val="002060"/>
          <w:sz w:val="20"/>
          <w:szCs w:val="20"/>
          <w:lang w:eastAsia="fr-FR"/>
        </w:rPr>
        <w:t>cession bail</w:t>
      </w:r>
      <w:r w:rsidRPr="0088622E">
        <w:rPr>
          <w:rFonts w:eastAsia="Times New Roman" w:cs="Times New Roman"/>
          <w:bCs/>
          <w:color w:val="002060"/>
          <w:sz w:val="20"/>
          <w:szCs w:val="20"/>
          <w:lang w:eastAsia="fr-FR"/>
        </w:rPr>
        <w:t> : contrat qui consiste à vendre un bien, accompagné d’un contrat de crédit-bail.</w:t>
      </w:r>
    </w:p>
    <w:p w:rsidR="000C3F6F" w:rsidRPr="002A058C" w:rsidRDefault="000C3F6F" w:rsidP="000C3F6F">
      <w:pPr>
        <w:spacing w:after="120" w:line="240" w:lineRule="auto"/>
        <w:jc w:val="both"/>
        <w:outlineLvl w:val="1"/>
        <w:rPr>
          <w:rFonts w:eastAsia="Times New Roman" w:cs="Times New Roman"/>
          <w:b/>
          <w:bCs/>
          <w:color w:val="002060"/>
          <w:sz w:val="21"/>
          <w:szCs w:val="21"/>
          <w:lang w:eastAsia="fr-FR"/>
        </w:rPr>
      </w:pPr>
      <w:r w:rsidRPr="002A058C">
        <w:rPr>
          <w:rFonts w:eastAsia="Times New Roman" w:cs="Times New Roman"/>
          <w:b/>
          <w:bCs/>
          <w:color w:val="002060"/>
          <w:sz w:val="21"/>
          <w:szCs w:val="21"/>
          <w:lang w:eastAsia="fr-FR"/>
        </w:rPr>
        <w:t>Les erreurs conduisant à la réduction du fonds de roulement</w:t>
      </w:r>
    </w:p>
    <w:p w:rsidR="003F1F09" w:rsidRDefault="000C3F6F" w:rsidP="003F1F09">
      <w:pPr>
        <w:pStyle w:val="Paragraphedeliste"/>
        <w:numPr>
          <w:ilvl w:val="0"/>
          <w:numId w:val="4"/>
        </w:numPr>
        <w:spacing w:after="60" w:line="240" w:lineRule="auto"/>
        <w:ind w:left="170" w:hanging="170"/>
        <w:contextualSpacing w:val="0"/>
        <w:jc w:val="both"/>
        <w:outlineLvl w:val="1"/>
        <w:rPr>
          <w:rFonts w:eastAsia="Times New Roman" w:cs="Times New Roman"/>
          <w:b/>
          <w:bCs/>
          <w:color w:val="002060"/>
          <w:sz w:val="20"/>
          <w:szCs w:val="20"/>
          <w:lang w:eastAsia="fr-FR"/>
        </w:rPr>
      </w:pPr>
      <w:r>
        <w:rPr>
          <w:rFonts w:eastAsia="Times New Roman" w:cs="Times New Roman"/>
          <w:b/>
          <w:bCs/>
          <w:color w:val="002060"/>
          <w:sz w:val="20"/>
          <w:szCs w:val="20"/>
          <w:lang w:eastAsia="fr-FR"/>
        </w:rPr>
        <w:t xml:space="preserve"> </w:t>
      </w:r>
      <w:r w:rsidRPr="000C3F6F">
        <w:rPr>
          <w:rFonts w:eastAsia="Times New Roman" w:cs="Times New Roman"/>
          <w:b/>
          <w:bCs/>
          <w:color w:val="002060"/>
          <w:sz w:val="20"/>
          <w:szCs w:val="20"/>
          <w:lang w:eastAsia="fr-FR"/>
        </w:rPr>
        <w:t>Surinvestissement</w:t>
      </w:r>
    </w:p>
    <w:p w:rsidR="003F1F09" w:rsidRPr="003F1F09" w:rsidRDefault="000C3F6F" w:rsidP="003F1F09">
      <w:pPr>
        <w:pStyle w:val="Paragraphedeliste"/>
        <w:numPr>
          <w:ilvl w:val="0"/>
          <w:numId w:val="1"/>
        </w:numPr>
        <w:spacing w:after="60" w:line="240" w:lineRule="auto"/>
        <w:ind w:left="340" w:hanging="170"/>
        <w:contextualSpacing w:val="0"/>
        <w:jc w:val="both"/>
        <w:outlineLvl w:val="1"/>
        <w:rPr>
          <w:rFonts w:eastAsia="Times New Roman" w:cs="Times New Roman"/>
          <w:b/>
          <w:bCs/>
          <w:color w:val="002060"/>
          <w:sz w:val="20"/>
          <w:szCs w:val="20"/>
          <w:lang w:eastAsia="fr-FR"/>
        </w:rPr>
      </w:pPr>
      <w:r w:rsidRPr="003F1F09">
        <w:rPr>
          <w:rFonts w:eastAsia="Times New Roman" w:cs="Times New Roman"/>
          <w:bCs/>
          <w:color w:val="002060"/>
          <w:sz w:val="20"/>
          <w:szCs w:val="20"/>
          <w:lang w:eastAsia="fr-FR"/>
        </w:rPr>
        <w:t>En ne maîtrisant pas les programmes d’investissement initialement prévus : dépassement des devis par exemple,</w:t>
      </w:r>
    </w:p>
    <w:p w:rsidR="000C3F6F" w:rsidRPr="003F1F09" w:rsidRDefault="000C3F6F" w:rsidP="003F1F09">
      <w:pPr>
        <w:pStyle w:val="Paragraphedeliste"/>
        <w:numPr>
          <w:ilvl w:val="0"/>
          <w:numId w:val="1"/>
        </w:numPr>
        <w:spacing w:after="120" w:line="240" w:lineRule="auto"/>
        <w:ind w:left="340" w:hanging="170"/>
        <w:contextualSpacing w:val="0"/>
        <w:jc w:val="both"/>
        <w:outlineLvl w:val="1"/>
        <w:rPr>
          <w:rFonts w:eastAsia="Times New Roman" w:cs="Times New Roman"/>
          <w:b/>
          <w:bCs/>
          <w:color w:val="002060"/>
          <w:sz w:val="20"/>
          <w:szCs w:val="20"/>
          <w:lang w:eastAsia="fr-FR"/>
        </w:rPr>
      </w:pPr>
      <w:r w:rsidRPr="003F1F09">
        <w:rPr>
          <w:rFonts w:eastAsia="Times New Roman" w:cs="Times New Roman"/>
          <w:bCs/>
          <w:color w:val="002060"/>
          <w:sz w:val="20"/>
          <w:szCs w:val="20"/>
          <w:lang w:eastAsia="fr-FR"/>
        </w:rPr>
        <w:t>En cédant aux « mode », investissements-gadgets ou bien disproportionnés par rapport aux besoins de l’entreprise</w:t>
      </w:r>
      <w:r w:rsidR="00343C2A" w:rsidRPr="003F1F09">
        <w:rPr>
          <w:rFonts w:eastAsia="Times New Roman" w:cs="Times New Roman"/>
          <w:bCs/>
          <w:color w:val="002060"/>
          <w:sz w:val="20"/>
          <w:szCs w:val="20"/>
          <w:lang w:eastAsia="fr-FR"/>
        </w:rPr>
        <w:t>.</w:t>
      </w:r>
    </w:p>
    <w:p w:rsidR="003F1F09" w:rsidRDefault="000C3F6F" w:rsidP="003F1F09">
      <w:pPr>
        <w:pStyle w:val="Paragraphedeliste"/>
        <w:numPr>
          <w:ilvl w:val="0"/>
          <w:numId w:val="4"/>
        </w:numPr>
        <w:spacing w:after="60" w:line="240" w:lineRule="auto"/>
        <w:ind w:left="170" w:hanging="170"/>
        <w:contextualSpacing w:val="0"/>
        <w:jc w:val="both"/>
        <w:outlineLvl w:val="1"/>
        <w:rPr>
          <w:rFonts w:eastAsia="Times New Roman" w:cs="Times New Roman"/>
          <w:b/>
          <w:bCs/>
          <w:color w:val="002060"/>
          <w:sz w:val="20"/>
          <w:szCs w:val="20"/>
          <w:lang w:eastAsia="fr-FR"/>
        </w:rPr>
      </w:pPr>
      <w:r w:rsidRPr="000C3F6F">
        <w:rPr>
          <w:rFonts w:eastAsia="Times New Roman" w:cs="Times New Roman"/>
          <w:b/>
          <w:bCs/>
          <w:color w:val="002060"/>
          <w:sz w:val="20"/>
          <w:szCs w:val="20"/>
          <w:lang w:eastAsia="fr-FR"/>
        </w:rPr>
        <w:t xml:space="preserve"> </w:t>
      </w:r>
      <w:proofErr w:type="spellStart"/>
      <w:r w:rsidR="00957DEF">
        <w:rPr>
          <w:rFonts w:eastAsia="Times New Roman" w:cs="Times New Roman"/>
          <w:b/>
          <w:bCs/>
          <w:color w:val="002060"/>
          <w:sz w:val="20"/>
          <w:szCs w:val="20"/>
          <w:lang w:eastAsia="fr-FR"/>
        </w:rPr>
        <w:t>Sur</w:t>
      </w:r>
      <w:r w:rsidR="00957DEF" w:rsidRPr="000C3F6F">
        <w:rPr>
          <w:rFonts w:eastAsia="Times New Roman" w:cs="Times New Roman"/>
          <w:b/>
          <w:bCs/>
          <w:color w:val="002060"/>
          <w:sz w:val="20"/>
          <w:szCs w:val="20"/>
          <w:lang w:eastAsia="fr-FR"/>
        </w:rPr>
        <w:t>distribution</w:t>
      </w:r>
      <w:proofErr w:type="spellEnd"/>
    </w:p>
    <w:p w:rsidR="003F1F09" w:rsidRPr="003F1F09" w:rsidRDefault="000C3F6F" w:rsidP="003F1F09">
      <w:pPr>
        <w:pStyle w:val="Paragraphedeliste"/>
        <w:numPr>
          <w:ilvl w:val="0"/>
          <w:numId w:val="1"/>
        </w:numPr>
        <w:spacing w:after="60" w:line="240" w:lineRule="auto"/>
        <w:ind w:left="340" w:hanging="170"/>
        <w:contextualSpacing w:val="0"/>
        <w:jc w:val="both"/>
        <w:outlineLvl w:val="1"/>
        <w:rPr>
          <w:rFonts w:eastAsia="Times New Roman" w:cs="Times New Roman"/>
          <w:b/>
          <w:bCs/>
          <w:color w:val="002060"/>
          <w:sz w:val="20"/>
          <w:szCs w:val="20"/>
          <w:lang w:eastAsia="fr-FR"/>
        </w:rPr>
      </w:pPr>
      <w:r w:rsidRPr="003F1F09">
        <w:rPr>
          <w:rFonts w:eastAsia="Times New Roman" w:cs="Times New Roman"/>
          <w:bCs/>
          <w:color w:val="002060"/>
          <w:sz w:val="20"/>
          <w:szCs w:val="20"/>
          <w:lang w:eastAsia="fr-FR"/>
        </w:rPr>
        <w:t>En voulant dégager trop rapidement des rémunérations importantes pou</w:t>
      </w:r>
      <w:r w:rsidR="00343C2A" w:rsidRPr="003F1F09">
        <w:rPr>
          <w:rFonts w:eastAsia="Times New Roman" w:cs="Times New Roman"/>
          <w:bCs/>
          <w:color w:val="002060"/>
          <w:sz w:val="20"/>
          <w:szCs w:val="20"/>
          <w:lang w:eastAsia="fr-FR"/>
        </w:rPr>
        <w:t>r les associés,</w:t>
      </w:r>
    </w:p>
    <w:p w:rsidR="00343C2A" w:rsidRPr="003F1F09" w:rsidRDefault="00343C2A" w:rsidP="003F1F09">
      <w:pPr>
        <w:pStyle w:val="Paragraphedeliste"/>
        <w:numPr>
          <w:ilvl w:val="0"/>
          <w:numId w:val="1"/>
        </w:numPr>
        <w:spacing w:after="120" w:line="240" w:lineRule="auto"/>
        <w:ind w:left="340" w:hanging="170"/>
        <w:contextualSpacing w:val="0"/>
        <w:jc w:val="both"/>
        <w:outlineLvl w:val="1"/>
        <w:rPr>
          <w:rFonts w:eastAsia="Times New Roman" w:cs="Times New Roman"/>
          <w:b/>
          <w:bCs/>
          <w:color w:val="002060"/>
          <w:sz w:val="20"/>
          <w:szCs w:val="20"/>
          <w:lang w:eastAsia="fr-FR"/>
        </w:rPr>
      </w:pPr>
      <w:r w:rsidRPr="003F1F09">
        <w:rPr>
          <w:rFonts w:eastAsia="Times New Roman" w:cs="Times New Roman"/>
          <w:bCs/>
          <w:color w:val="002060"/>
          <w:sz w:val="20"/>
          <w:szCs w:val="20"/>
          <w:lang w:eastAsia="fr-FR"/>
        </w:rPr>
        <w:t>En refusant de réduire les habitudes de forts dividendes lorsque cela s’impose.</w:t>
      </w:r>
    </w:p>
    <w:p w:rsidR="003F1F09" w:rsidRDefault="00343C2A" w:rsidP="003F1F09">
      <w:pPr>
        <w:pStyle w:val="Paragraphedeliste"/>
        <w:numPr>
          <w:ilvl w:val="0"/>
          <w:numId w:val="4"/>
        </w:numPr>
        <w:spacing w:after="60" w:line="240" w:lineRule="auto"/>
        <w:ind w:left="170" w:hanging="170"/>
        <w:contextualSpacing w:val="0"/>
        <w:jc w:val="both"/>
        <w:outlineLvl w:val="1"/>
        <w:rPr>
          <w:rFonts w:eastAsia="Times New Roman" w:cs="Times New Roman"/>
          <w:b/>
          <w:bCs/>
          <w:color w:val="002060"/>
          <w:sz w:val="20"/>
          <w:szCs w:val="20"/>
          <w:lang w:eastAsia="fr-FR"/>
        </w:rPr>
      </w:pPr>
      <w:r>
        <w:rPr>
          <w:rFonts w:eastAsia="Times New Roman" w:cs="Times New Roman"/>
          <w:b/>
          <w:bCs/>
          <w:color w:val="002060"/>
          <w:sz w:val="20"/>
          <w:szCs w:val="20"/>
          <w:lang w:eastAsia="fr-FR"/>
        </w:rPr>
        <w:t xml:space="preserve"> </w:t>
      </w:r>
      <w:r w:rsidRPr="00343C2A">
        <w:rPr>
          <w:rFonts w:eastAsia="Times New Roman" w:cs="Times New Roman"/>
          <w:b/>
          <w:bCs/>
          <w:color w:val="002060"/>
          <w:sz w:val="20"/>
          <w:szCs w:val="20"/>
          <w:lang w:eastAsia="fr-FR"/>
        </w:rPr>
        <w:t xml:space="preserve">Mauvais choix </w:t>
      </w:r>
      <w:r>
        <w:rPr>
          <w:rFonts w:eastAsia="Times New Roman" w:cs="Times New Roman"/>
          <w:b/>
          <w:bCs/>
          <w:color w:val="002060"/>
          <w:sz w:val="20"/>
          <w:szCs w:val="20"/>
          <w:lang w:eastAsia="fr-FR"/>
        </w:rPr>
        <w:t>de financement</w:t>
      </w:r>
    </w:p>
    <w:p w:rsidR="003F1F09" w:rsidRPr="003F1F09" w:rsidRDefault="00343C2A" w:rsidP="003F1F09">
      <w:pPr>
        <w:pStyle w:val="Paragraphedeliste"/>
        <w:numPr>
          <w:ilvl w:val="0"/>
          <w:numId w:val="1"/>
        </w:numPr>
        <w:spacing w:after="60" w:line="240" w:lineRule="auto"/>
        <w:ind w:left="340" w:hanging="170"/>
        <w:contextualSpacing w:val="0"/>
        <w:jc w:val="both"/>
        <w:outlineLvl w:val="1"/>
        <w:rPr>
          <w:rFonts w:eastAsia="Times New Roman" w:cs="Times New Roman"/>
          <w:b/>
          <w:bCs/>
          <w:color w:val="002060"/>
          <w:sz w:val="20"/>
          <w:szCs w:val="20"/>
          <w:lang w:eastAsia="fr-FR"/>
        </w:rPr>
      </w:pPr>
      <w:r w:rsidRPr="003F1F09">
        <w:rPr>
          <w:rFonts w:eastAsia="Times New Roman" w:cs="Times New Roman"/>
          <w:bCs/>
          <w:color w:val="002060"/>
          <w:sz w:val="20"/>
          <w:szCs w:val="20"/>
          <w:lang w:eastAsia="fr-FR"/>
        </w:rPr>
        <w:t>En finançant d</w:t>
      </w:r>
      <w:r w:rsidR="00913FA1" w:rsidRPr="003F1F09">
        <w:rPr>
          <w:rFonts w:eastAsia="Times New Roman" w:cs="Times New Roman"/>
          <w:bCs/>
          <w:color w:val="002060"/>
          <w:sz w:val="20"/>
          <w:szCs w:val="20"/>
          <w:lang w:eastAsia="fr-FR"/>
        </w:rPr>
        <w:t xml:space="preserve">es </w:t>
      </w:r>
      <w:r w:rsidRPr="003F1F09">
        <w:rPr>
          <w:rFonts w:eastAsia="Times New Roman" w:cs="Times New Roman"/>
          <w:bCs/>
          <w:color w:val="002060"/>
          <w:sz w:val="20"/>
          <w:szCs w:val="20"/>
          <w:lang w:eastAsia="fr-FR"/>
        </w:rPr>
        <w:t>investissements importants sur fonds propres</w:t>
      </w:r>
      <w:r w:rsidR="00902C0B" w:rsidRPr="003F1F09">
        <w:rPr>
          <w:rFonts w:eastAsia="Times New Roman" w:cs="Times New Roman"/>
          <w:bCs/>
          <w:color w:val="002060"/>
          <w:sz w:val="20"/>
          <w:szCs w:val="20"/>
          <w:lang w:eastAsia="fr-FR"/>
        </w:rPr>
        <w:t xml:space="preserve"> (autofinancement)</w:t>
      </w:r>
      <w:r w:rsidRPr="003F1F09">
        <w:rPr>
          <w:rFonts w:eastAsia="Times New Roman" w:cs="Times New Roman"/>
          <w:bCs/>
          <w:color w:val="002060"/>
          <w:sz w:val="20"/>
          <w:szCs w:val="20"/>
          <w:lang w:eastAsia="fr-FR"/>
        </w:rPr>
        <w:t>, apports insuffisants en capital et recours insuffisant ou inadapté aux emprunts,</w:t>
      </w:r>
    </w:p>
    <w:p w:rsidR="00913FA1" w:rsidRPr="003F1F09" w:rsidRDefault="00913FA1" w:rsidP="003F1F09">
      <w:pPr>
        <w:pStyle w:val="Paragraphedeliste"/>
        <w:numPr>
          <w:ilvl w:val="0"/>
          <w:numId w:val="1"/>
        </w:numPr>
        <w:spacing w:after="60" w:line="240" w:lineRule="auto"/>
        <w:ind w:left="340" w:hanging="170"/>
        <w:jc w:val="both"/>
        <w:outlineLvl w:val="1"/>
        <w:rPr>
          <w:rFonts w:eastAsia="Times New Roman" w:cs="Times New Roman"/>
          <w:b/>
          <w:bCs/>
          <w:color w:val="002060"/>
          <w:sz w:val="20"/>
          <w:szCs w:val="20"/>
          <w:lang w:eastAsia="fr-FR"/>
        </w:rPr>
      </w:pPr>
      <w:r w:rsidRPr="003F1F09">
        <w:rPr>
          <w:rFonts w:eastAsia="Times New Roman" w:cs="Times New Roman"/>
          <w:bCs/>
          <w:color w:val="002060"/>
          <w:sz w:val="20"/>
          <w:szCs w:val="20"/>
          <w:lang w:eastAsia="fr-FR"/>
        </w:rPr>
        <w:t>En surestimant les capacités de l’entreprise : prendre des crédits avec des modalités de remboursement trop rapides.</w:t>
      </w:r>
    </w:p>
    <w:p w:rsidR="00902C0B" w:rsidRDefault="00902C0B" w:rsidP="00902C0B">
      <w:pPr>
        <w:pStyle w:val="Paragraphedeliste"/>
        <w:spacing w:after="120" w:line="240" w:lineRule="auto"/>
        <w:ind w:left="397"/>
        <w:contextualSpacing w:val="0"/>
        <w:jc w:val="both"/>
        <w:outlineLvl w:val="1"/>
        <w:rPr>
          <w:rFonts w:eastAsia="Times New Roman" w:cs="Times New Roman"/>
          <w:bCs/>
          <w:color w:val="002060"/>
          <w:sz w:val="20"/>
          <w:szCs w:val="20"/>
          <w:lang w:eastAsia="fr-FR"/>
        </w:rPr>
      </w:pPr>
    </w:p>
    <w:p w:rsidR="003F1F09" w:rsidRDefault="003F1F09" w:rsidP="00902C0B">
      <w:pPr>
        <w:pStyle w:val="Paragraphedeliste"/>
        <w:spacing w:after="120" w:line="240" w:lineRule="auto"/>
        <w:ind w:left="397"/>
        <w:contextualSpacing w:val="0"/>
        <w:jc w:val="both"/>
        <w:outlineLvl w:val="1"/>
        <w:rPr>
          <w:rFonts w:eastAsia="Times New Roman" w:cs="Times New Roman"/>
          <w:bCs/>
          <w:color w:val="002060"/>
          <w:sz w:val="20"/>
          <w:szCs w:val="20"/>
          <w:lang w:eastAsia="fr-FR"/>
        </w:rPr>
      </w:pPr>
    </w:p>
    <w:p w:rsidR="003F1F09" w:rsidRDefault="002A058C" w:rsidP="003F1F09">
      <w:pPr>
        <w:pStyle w:val="Paragraphedeliste"/>
        <w:numPr>
          <w:ilvl w:val="0"/>
          <w:numId w:val="4"/>
        </w:numPr>
        <w:spacing w:after="60" w:line="240" w:lineRule="auto"/>
        <w:ind w:left="170" w:hanging="170"/>
        <w:contextualSpacing w:val="0"/>
        <w:jc w:val="both"/>
        <w:outlineLvl w:val="1"/>
        <w:rPr>
          <w:rFonts w:eastAsia="Times New Roman" w:cs="Times New Roman"/>
          <w:b/>
          <w:bCs/>
          <w:color w:val="002060"/>
          <w:sz w:val="20"/>
          <w:szCs w:val="20"/>
          <w:lang w:eastAsia="fr-FR"/>
        </w:rPr>
      </w:pPr>
      <w:r>
        <w:rPr>
          <w:rFonts w:eastAsia="Times New Roman" w:cs="Times New Roman"/>
          <w:b/>
          <w:bCs/>
          <w:color w:val="002060"/>
          <w:sz w:val="20"/>
          <w:szCs w:val="20"/>
          <w:lang w:eastAsia="fr-FR"/>
        </w:rPr>
        <w:lastRenderedPageBreak/>
        <w:t xml:space="preserve"> </w:t>
      </w:r>
      <w:r w:rsidR="00913FA1" w:rsidRPr="00913FA1">
        <w:rPr>
          <w:rFonts w:eastAsia="Times New Roman" w:cs="Times New Roman"/>
          <w:b/>
          <w:bCs/>
          <w:color w:val="002060"/>
          <w:sz w:val="20"/>
          <w:szCs w:val="20"/>
          <w:lang w:eastAsia="fr-FR"/>
        </w:rPr>
        <w:t>Détérioration de la rentabilité</w:t>
      </w:r>
    </w:p>
    <w:p w:rsidR="003F1F09" w:rsidRPr="003F1F09" w:rsidRDefault="00913FA1" w:rsidP="003F1F09">
      <w:pPr>
        <w:pStyle w:val="Paragraphedeliste"/>
        <w:numPr>
          <w:ilvl w:val="0"/>
          <w:numId w:val="1"/>
        </w:numPr>
        <w:spacing w:after="60" w:line="240" w:lineRule="auto"/>
        <w:ind w:left="340" w:hanging="170"/>
        <w:contextualSpacing w:val="0"/>
        <w:jc w:val="both"/>
        <w:outlineLvl w:val="1"/>
        <w:rPr>
          <w:rFonts w:eastAsia="Times New Roman" w:cs="Times New Roman"/>
          <w:b/>
          <w:bCs/>
          <w:color w:val="002060"/>
          <w:sz w:val="20"/>
          <w:szCs w:val="20"/>
          <w:lang w:eastAsia="fr-FR"/>
        </w:rPr>
      </w:pPr>
      <w:r w:rsidRPr="003F1F09">
        <w:rPr>
          <w:rFonts w:eastAsia="Times New Roman" w:cs="Times New Roman"/>
          <w:color w:val="002060"/>
          <w:sz w:val="20"/>
          <w:szCs w:val="24"/>
          <w:lang w:eastAsia="fr-FR"/>
        </w:rPr>
        <w:t>Manque de rigueur dans la gestion des frais, erreur dans le lancement d’activités nouvelles, dégradation des résultats, donc de la reconstitution des fonds propres,</w:t>
      </w:r>
    </w:p>
    <w:p w:rsidR="003E5403" w:rsidRPr="003F1F09" w:rsidRDefault="00913FA1" w:rsidP="003F1F09">
      <w:pPr>
        <w:pStyle w:val="Paragraphedeliste"/>
        <w:numPr>
          <w:ilvl w:val="0"/>
          <w:numId w:val="1"/>
        </w:numPr>
        <w:spacing w:after="60" w:line="240" w:lineRule="auto"/>
        <w:ind w:left="340" w:hanging="170"/>
        <w:jc w:val="both"/>
        <w:outlineLvl w:val="1"/>
        <w:rPr>
          <w:rFonts w:eastAsia="Times New Roman" w:cs="Times New Roman"/>
          <w:b/>
          <w:bCs/>
          <w:color w:val="002060"/>
          <w:sz w:val="20"/>
          <w:szCs w:val="20"/>
          <w:lang w:eastAsia="fr-FR"/>
        </w:rPr>
      </w:pPr>
      <w:r w:rsidRPr="003F1F09">
        <w:rPr>
          <w:color w:val="002060"/>
          <w:sz w:val="20"/>
        </w:rPr>
        <w:t>Impact du coût exorbitant de certains modes de financement choisis uniquement pour des raisons fiscales.</w:t>
      </w:r>
    </w:p>
    <w:p w:rsidR="00615C2F" w:rsidRDefault="00615C2F" w:rsidP="00615C2F">
      <w:pPr>
        <w:spacing w:after="0" w:line="240" w:lineRule="auto"/>
        <w:rPr>
          <w:color w:val="002060"/>
          <w:sz w:val="20"/>
        </w:rPr>
      </w:pPr>
    </w:p>
    <w:p w:rsidR="00615C2F" w:rsidRPr="002A058C" w:rsidRDefault="00615C2F" w:rsidP="00615C2F">
      <w:pPr>
        <w:spacing w:after="120" w:line="240" w:lineRule="auto"/>
        <w:jc w:val="both"/>
        <w:outlineLvl w:val="1"/>
        <w:rPr>
          <w:rFonts w:eastAsia="Times New Roman" w:cs="Times New Roman"/>
          <w:b/>
          <w:bCs/>
          <w:color w:val="002060"/>
          <w:sz w:val="21"/>
          <w:szCs w:val="21"/>
          <w:lang w:eastAsia="fr-FR"/>
        </w:rPr>
      </w:pPr>
      <w:bookmarkStart w:id="0" w:name="_GoBack"/>
      <w:r w:rsidRPr="002A058C">
        <w:rPr>
          <w:rFonts w:eastAsia="Times New Roman" w:cs="Times New Roman"/>
          <w:b/>
          <w:bCs/>
          <w:color w:val="002060"/>
          <w:sz w:val="21"/>
          <w:szCs w:val="21"/>
          <w:lang w:eastAsia="fr-FR"/>
        </w:rPr>
        <w:t>En conclusion</w:t>
      </w:r>
    </w:p>
    <w:tbl>
      <w:tblPr>
        <w:tblStyle w:val="Grilledutableau"/>
        <w:tblW w:w="0" w:type="auto"/>
        <w:shd w:val="clear" w:color="auto" w:fill="F2F2F2" w:themeFill="background1" w:themeFillShade="F2"/>
        <w:tblLook w:val="04A0" w:firstRow="1" w:lastRow="0" w:firstColumn="1" w:lastColumn="0" w:noHBand="0" w:noVBand="1"/>
      </w:tblPr>
      <w:tblGrid>
        <w:gridCol w:w="10194"/>
      </w:tblGrid>
      <w:tr w:rsidR="00615C2F" w:rsidTr="00DA74C9">
        <w:tc>
          <w:tcPr>
            <w:tcW w:w="10194" w:type="dxa"/>
            <w:shd w:val="clear" w:color="auto" w:fill="F2F2F2" w:themeFill="background1" w:themeFillShade="F2"/>
          </w:tcPr>
          <w:bookmarkEnd w:id="0"/>
          <w:p w:rsidR="00615C2F" w:rsidRPr="00EC53A0" w:rsidRDefault="00615C2F" w:rsidP="00ED2988">
            <w:pPr>
              <w:spacing w:before="120" w:after="60"/>
              <w:ind w:left="113" w:right="113"/>
              <w:jc w:val="both"/>
              <w:outlineLvl w:val="1"/>
              <w:rPr>
                <w:rFonts w:eastAsia="Times New Roman" w:cs="Times New Roman"/>
                <w:bCs/>
                <w:color w:val="002060"/>
                <w:sz w:val="20"/>
                <w:szCs w:val="36"/>
                <w:lang w:eastAsia="fr-FR"/>
              </w:rPr>
            </w:pPr>
            <w:r w:rsidRPr="00EC53A0">
              <w:rPr>
                <w:rFonts w:eastAsia="Times New Roman" w:cs="Times New Roman"/>
                <w:bCs/>
                <w:color w:val="002060"/>
                <w:sz w:val="20"/>
                <w:szCs w:val="36"/>
                <w:lang w:eastAsia="fr-FR"/>
              </w:rPr>
              <w:t xml:space="preserve">Le </w:t>
            </w:r>
            <w:r w:rsidRPr="00F0015B">
              <w:rPr>
                <w:rFonts w:eastAsia="Times New Roman" w:cs="Times New Roman"/>
                <w:bCs/>
                <w:color w:val="0000CC"/>
                <w:sz w:val="20"/>
                <w:szCs w:val="36"/>
                <w:lang w:eastAsia="fr-FR"/>
              </w:rPr>
              <w:t>fonds de roulement (</w:t>
            </w:r>
            <w:r w:rsidRPr="00BB07F8">
              <w:rPr>
                <w:rFonts w:eastAsia="Times New Roman" w:cs="Times New Roman"/>
                <w:b/>
                <w:bCs/>
                <w:color w:val="0000CC"/>
                <w:sz w:val="20"/>
                <w:szCs w:val="36"/>
                <w:lang w:eastAsia="fr-FR"/>
              </w:rPr>
              <w:t>FR</w:t>
            </w:r>
            <w:r w:rsidRPr="00F0015B">
              <w:rPr>
                <w:rFonts w:eastAsia="Times New Roman" w:cs="Times New Roman"/>
                <w:bCs/>
                <w:color w:val="0000CC"/>
                <w:sz w:val="20"/>
                <w:szCs w:val="36"/>
                <w:lang w:eastAsia="fr-FR"/>
              </w:rPr>
              <w:t xml:space="preserve">) </w:t>
            </w:r>
            <w:r w:rsidRPr="00EC53A0">
              <w:rPr>
                <w:rFonts w:eastAsia="Times New Roman" w:cs="Times New Roman"/>
                <w:bCs/>
                <w:color w:val="002060"/>
                <w:sz w:val="20"/>
                <w:szCs w:val="36"/>
                <w:lang w:eastAsia="fr-FR"/>
              </w:rPr>
              <w:t>est un gage de sécurité financière, mais il est exclu qu’il puisse, à tout moment, garantir la liquidité de l’entreprise</w:t>
            </w:r>
          </w:p>
          <w:p w:rsidR="00615C2F" w:rsidRDefault="00615C2F" w:rsidP="003F1F09">
            <w:pPr>
              <w:spacing w:after="60"/>
              <w:ind w:left="113" w:right="113"/>
              <w:jc w:val="both"/>
              <w:outlineLvl w:val="1"/>
              <w:rPr>
                <w:rFonts w:eastAsia="Times New Roman" w:cs="Times New Roman"/>
                <w:bCs/>
                <w:color w:val="002060"/>
                <w:sz w:val="20"/>
                <w:szCs w:val="36"/>
                <w:lang w:eastAsia="fr-FR"/>
              </w:rPr>
            </w:pPr>
            <w:r w:rsidRPr="00EC53A0">
              <w:rPr>
                <w:rFonts w:eastAsia="Times New Roman" w:cs="Times New Roman"/>
                <w:bCs/>
                <w:color w:val="002060"/>
                <w:sz w:val="20"/>
                <w:szCs w:val="36"/>
                <w:lang w:eastAsia="fr-FR"/>
              </w:rPr>
              <w:t xml:space="preserve">Le </w:t>
            </w:r>
            <w:r w:rsidRPr="00F0015B">
              <w:rPr>
                <w:rFonts w:eastAsia="Times New Roman" w:cs="Times New Roman"/>
                <w:bCs/>
                <w:color w:val="FF0000"/>
                <w:sz w:val="20"/>
                <w:szCs w:val="36"/>
                <w:lang w:eastAsia="fr-FR"/>
              </w:rPr>
              <w:t>besoin en fonds de roulement (</w:t>
            </w:r>
            <w:r w:rsidRPr="00F0015B">
              <w:rPr>
                <w:rFonts w:eastAsia="Times New Roman" w:cs="Times New Roman"/>
                <w:b/>
                <w:bCs/>
                <w:color w:val="FF0000"/>
                <w:sz w:val="20"/>
                <w:szCs w:val="36"/>
                <w:lang w:eastAsia="fr-FR"/>
              </w:rPr>
              <w:t>BFR</w:t>
            </w:r>
            <w:r w:rsidRPr="00F0015B">
              <w:rPr>
                <w:rFonts w:eastAsia="Times New Roman" w:cs="Times New Roman"/>
                <w:bCs/>
                <w:color w:val="FF0000"/>
                <w:sz w:val="20"/>
                <w:szCs w:val="36"/>
                <w:lang w:eastAsia="fr-FR"/>
              </w:rPr>
              <w:t xml:space="preserve">) </w:t>
            </w:r>
            <w:r w:rsidRPr="00EC53A0">
              <w:rPr>
                <w:rFonts w:eastAsia="Times New Roman" w:cs="Times New Roman"/>
                <w:bCs/>
                <w:color w:val="002060"/>
                <w:sz w:val="20"/>
                <w:szCs w:val="36"/>
                <w:lang w:eastAsia="fr-FR"/>
              </w:rPr>
              <w:t>indique ce que devrait être le fonds de roulement pour que cette garantie existe</w:t>
            </w:r>
            <w:r>
              <w:rPr>
                <w:rFonts w:eastAsia="Times New Roman" w:cs="Times New Roman"/>
                <w:bCs/>
                <w:color w:val="002060"/>
                <w:sz w:val="20"/>
                <w:szCs w:val="36"/>
                <w:lang w:eastAsia="fr-FR"/>
              </w:rPr>
              <w:t>.</w:t>
            </w:r>
          </w:p>
          <w:p w:rsidR="00615C2F" w:rsidRPr="00EC53A0" w:rsidRDefault="00615C2F" w:rsidP="00ED2988">
            <w:pPr>
              <w:spacing w:after="120"/>
              <w:ind w:left="113" w:right="113"/>
              <w:jc w:val="both"/>
              <w:outlineLvl w:val="1"/>
              <w:rPr>
                <w:rFonts w:eastAsia="Times New Roman" w:cs="Times New Roman"/>
                <w:bCs/>
                <w:color w:val="002060"/>
                <w:sz w:val="20"/>
                <w:szCs w:val="36"/>
                <w:lang w:eastAsia="fr-FR"/>
              </w:rPr>
            </w:pPr>
            <w:r w:rsidRPr="00BB07F8">
              <w:rPr>
                <w:rFonts w:eastAsia="Times New Roman" w:cs="Times New Roman"/>
                <w:b/>
                <w:bCs/>
                <w:color w:val="0000CC"/>
                <w:sz w:val="20"/>
                <w:szCs w:val="36"/>
                <w:lang w:eastAsia="fr-FR"/>
              </w:rPr>
              <w:t>FR</w:t>
            </w:r>
            <w:r>
              <w:rPr>
                <w:rFonts w:eastAsia="Times New Roman" w:cs="Times New Roman"/>
                <w:bCs/>
                <w:color w:val="002060"/>
                <w:sz w:val="20"/>
                <w:szCs w:val="36"/>
                <w:lang w:eastAsia="fr-FR"/>
              </w:rPr>
              <w:t xml:space="preserve"> et </w:t>
            </w:r>
            <w:r w:rsidRPr="00BB07F8">
              <w:rPr>
                <w:rFonts w:eastAsia="Times New Roman" w:cs="Times New Roman"/>
                <w:b/>
                <w:bCs/>
                <w:color w:val="FF0000"/>
                <w:sz w:val="20"/>
                <w:szCs w:val="36"/>
                <w:lang w:eastAsia="fr-FR"/>
              </w:rPr>
              <w:t>BFR</w:t>
            </w:r>
            <w:r>
              <w:rPr>
                <w:rFonts w:eastAsia="Times New Roman" w:cs="Times New Roman"/>
                <w:bCs/>
                <w:color w:val="002060"/>
                <w:sz w:val="20"/>
                <w:szCs w:val="36"/>
                <w:lang w:eastAsia="fr-FR"/>
              </w:rPr>
              <w:t xml:space="preserve"> sont donc deux notions fondamentalement liées ; l’étude de l’une ne saurait être indépendante de l’étude de l’autre</w:t>
            </w:r>
          </w:p>
        </w:tc>
      </w:tr>
    </w:tbl>
    <w:p w:rsidR="00615C2F" w:rsidRPr="00615C2F" w:rsidRDefault="00615C2F" w:rsidP="00615C2F">
      <w:pPr>
        <w:spacing w:after="0" w:line="240" w:lineRule="auto"/>
        <w:rPr>
          <w:color w:val="002060"/>
          <w:sz w:val="20"/>
        </w:rPr>
      </w:pPr>
    </w:p>
    <w:sectPr w:rsidR="00615C2F" w:rsidRPr="00615C2F" w:rsidSect="006812B4">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5DA7"/>
    <w:multiLevelType w:val="hybridMultilevel"/>
    <w:tmpl w:val="8B2EF7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A2699D"/>
    <w:multiLevelType w:val="hybridMultilevel"/>
    <w:tmpl w:val="05DC07F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2C826BC"/>
    <w:multiLevelType w:val="hybridMultilevel"/>
    <w:tmpl w:val="D2E8A57E"/>
    <w:lvl w:ilvl="0" w:tplc="70B2CEA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6662F1"/>
    <w:multiLevelType w:val="hybridMultilevel"/>
    <w:tmpl w:val="3522C462"/>
    <w:lvl w:ilvl="0" w:tplc="1A4C2470">
      <w:start w:val="3"/>
      <w:numFmt w:val="bullet"/>
      <w:lvlText w:val="-"/>
      <w:lvlJc w:val="left"/>
      <w:pPr>
        <w:tabs>
          <w:tab w:val="num" w:pos="600"/>
        </w:tabs>
        <w:ind w:left="600" w:hanging="360"/>
      </w:pPr>
      <w:rPr>
        <w:rFonts w:ascii="Times New Roman" w:eastAsia="Times New Roman" w:hAnsi="Times New Roman" w:cs="Times New Roman" w:hint="default"/>
      </w:rPr>
    </w:lvl>
    <w:lvl w:ilvl="1" w:tplc="040C0003" w:tentative="1">
      <w:start w:val="1"/>
      <w:numFmt w:val="bullet"/>
      <w:lvlText w:val="o"/>
      <w:lvlJc w:val="left"/>
      <w:pPr>
        <w:tabs>
          <w:tab w:val="num" w:pos="1320"/>
        </w:tabs>
        <w:ind w:left="1320" w:hanging="360"/>
      </w:pPr>
      <w:rPr>
        <w:rFonts w:ascii="Courier New" w:hAnsi="Courier New" w:cs="Courier New" w:hint="default"/>
      </w:rPr>
    </w:lvl>
    <w:lvl w:ilvl="2" w:tplc="040C0005" w:tentative="1">
      <w:start w:val="1"/>
      <w:numFmt w:val="bullet"/>
      <w:lvlText w:val=""/>
      <w:lvlJc w:val="left"/>
      <w:pPr>
        <w:tabs>
          <w:tab w:val="num" w:pos="2040"/>
        </w:tabs>
        <w:ind w:left="2040" w:hanging="360"/>
      </w:pPr>
      <w:rPr>
        <w:rFonts w:ascii="Wingdings" w:hAnsi="Wingdings" w:hint="default"/>
      </w:rPr>
    </w:lvl>
    <w:lvl w:ilvl="3" w:tplc="040C0001" w:tentative="1">
      <w:start w:val="1"/>
      <w:numFmt w:val="bullet"/>
      <w:lvlText w:val=""/>
      <w:lvlJc w:val="left"/>
      <w:pPr>
        <w:tabs>
          <w:tab w:val="num" w:pos="2760"/>
        </w:tabs>
        <w:ind w:left="2760" w:hanging="360"/>
      </w:pPr>
      <w:rPr>
        <w:rFonts w:ascii="Symbol" w:hAnsi="Symbol" w:hint="default"/>
      </w:rPr>
    </w:lvl>
    <w:lvl w:ilvl="4" w:tplc="040C0003" w:tentative="1">
      <w:start w:val="1"/>
      <w:numFmt w:val="bullet"/>
      <w:lvlText w:val="o"/>
      <w:lvlJc w:val="left"/>
      <w:pPr>
        <w:tabs>
          <w:tab w:val="num" w:pos="3480"/>
        </w:tabs>
        <w:ind w:left="3480" w:hanging="360"/>
      </w:pPr>
      <w:rPr>
        <w:rFonts w:ascii="Courier New" w:hAnsi="Courier New" w:cs="Courier New" w:hint="default"/>
      </w:rPr>
    </w:lvl>
    <w:lvl w:ilvl="5" w:tplc="040C0005" w:tentative="1">
      <w:start w:val="1"/>
      <w:numFmt w:val="bullet"/>
      <w:lvlText w:val=""/>
      <w:lvlJc w:val="left"/>
      <w:pPr>
        <w:tabs>
          <w:tab w:val="num" w:pos="4200"/>
        </w:tabs>
        <w:ind w:left="4200" w:hanging="360"/>
      </w:pPr>
      <w:rPr>
        <w:rFonts w:ascii="Wingdings" w:hAnsi="Wingdings" w:hint="default"/>
      </w:rPr>
    </w:lvl>
    <w:lvl w:ilvl="6" w:tplc="040C0001" w:tentative="1">
      <w:start w:val="1"/>
      <w:numFmt w:val="bullet"/>
      <w:lvlText w:val=""/>
      <w:lvlJc w:val="left"/>
      <w:pPr>
        <w:tabs>
          <w:tab w:val="num" w:pos="4920"/>
        </w:tabs>
        <w:ind w:left="4920" w:hanging="360"/>
      </w:pPr>
      <w:rPr>
        <w:rFonts w:ascii="Symbol" w:hAnsi="Symbol" w:hint="default"/>
      </w:rPr>
    </w:lvl>
    <w:lvl w:ilvl="7" w:tplc="040C0003" w:tentative="1">
      <w:start w:val="1"/>
      <w:numFmt w:val="bullet"/>
      <w:lvlText w:val="o"/>
      <w:lvlJc w:val="left"/>
      <w:pPr>
        <w:tabs>
          <w:tab w:val="num" w:pos="5640"/>
        </w:tabs>
        <w:ind w:left="5640" w:hanging="360"/>
      </w:pPr>
      <w:rPr>
        <w:rFonts w:ascii="Courier New" w:hAnsi="Courier New" w:cs="Courier New" w:hint="default"/>
      </w:rPr>
    </w:lvl>
    <w:lvl w:ilvl="8" w:tplc="040C0005" w:tentative="1">
      <w:start w:val="1"/>
      <w:numFmt w:val="bullet"/>
      <w:lvlText w:val=""/>
      <w:lvlJc w:val="left"/>
      <w:pPr>
        <w:tabs>
          <w:tab w:val="num" w:pos="6360"/>
        </w:tabs>
        <w:ind w:left="6360" w:hanging="360"/>
      </w:pPr>
      <w:rPr>
        <w:rFonts w:ascii="Wingdings" w:hAnsi="Wingdings" w:hint="default"/>
      </w:rPr>
    </w:lvl>
  </w:abstractNum>
  <w:abstractNum w:abstractNumId="4" w15:restartNumberingAfterBreak="0">
    <w:nsid w:val="1F7D46EE"/>
    <w:multiLevelType w:val="multilevel"/>
    <w:tmpl w:val="9550A96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4C4403"/>
    <w:multiLevelType w:val="hybridMultilevel"/>
    <w:tmpl w:val="E2E03B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DF52F9"/>
    <w:multiLevelType w:val="hybridMultilevel"/>
    <w:tmpl w:val="FD146F42"/>
    <w:lvl w:ilvl="0" w:tplc="040C000F">
      <w:start w:val="1"/>
      <w:numFmt w:val="decimal"/>
      <w:lvlText w:val="%1."/>
      <w:lvlJc w:val="left"/>
      <w:pPr>
        <w:ind w:left="720" w:hanging="360"/>
      </w:pPr>
      <w:rPr>
        <w:rFonts w:hint="default"/>
      </w:rPr>
    </w:lvl>
    <w:lvl w:ilvl="1" w:tplc="040C0019">
      <w:start w:val="1"/>
      <w:numFmt w:val="lowerLetter"/>
      <w:lvlText w:val="%2."/>
      <w:lvlJc w:val="left"/>
      <w:pPr>
        <w:ind w:left="107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65C27D1"/>
    <w:multiLevelType w:val="hybridMultilevel"/>
    <w:tmpl w:val="A992EA48"/>
    <w:lvl w:ilvl="0" w:tplc="75A8240E">
      <w:start w:val="1"/>
      <w:numFmt w:val="bullet"/>
      <w:lvlText w:val="-"/>
      <w:lvlJc w:val="left"/>
      <w:pPr>
        <w:ind w:left="1068" w:hanging="360"/>
      </w:pPr>
      <w:rPr>
        <w:rFonts w:ascii="Calibri" w:eastAsia="Times New Roman" w:hAnsi="Calibri"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4EFD0C43"/>
    <w:multiLevelType w:val="multilevel"/>
    <w:tmpl w:val="195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FA75B9"/>
    <w:multiLevelType w:val="multilevel"/>
    <w:tmpl w:val="0F96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B02D5B"/>
    <w:multiLevelType w:val="hybridMultilevel"/>
    <w:tmpl w:val="3E6AD556"/>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1"/>
  </w:num>
  <w:num w:numId="5">
    <w:abstractNumId w:val="7"/>
  </w:num>
  <w:num w:numId="6">
    <w:abstractNumId w:val="3"/>
  </w:num>
  <w:num w:numId="7">
    <w:abstractNumId w:val="5"/>
  </w:num>
  <w:num w:numId="8">
    <w:abstractNumId w:val="0"/>
  </w:num>
  <w:num w:numId="9">
    <w:abstractNumId w:val="1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03"/>
    <w:rsid w:val="00024FEE"/>
    <w:rsid w:val="000C3F6F"/>
    <w:rsid w:val="000E4755"/>
    <w:rsid w:val="0010532A"/>
    <w:rsid w:val="00136C5F"/>
    <w:rsid w:val="00185DF1"/>
    <w:rsid w:val="00272E0A"/>
    <w:rsid w:val="00284276"/>
    <w:rsid w:val="00285FBE"/>
    <w:rsid w:val="00286BF8"/>
    <w:rsid w:val="002A058C"/>
    <w:rsid w:val="003374B2"/>
    <w:rsid w:val="00343C2A"/>
    <w:rsid w:val="00346291"/>
    <w:rsid w:val="00352E3B"/>
    <w:rsid w:val="00371AF1"/>
    <w:rsid w:val="003C5D18"/>
    <w:rsid w:val="003D0C2A"/>
    <w:rsid w:val="003E5403"/>
    <w:rsid w:val="003E7060"/>
    <w:rsid w:val="003F1F09"/>
    <w:rsid w:val="003F7C3C"/>
    <w:rsid w:val="00415B55"/>
    <w:rsid w:val="004F0021"/>
    <w:rsid w:val="00507AAC"/>
    <w:rsid w:val="00512307"/>
    <w:rsid w:val="00560613"/>
    <w:rsid w:val="00593ADE"/>
    <w:rsid w:val="005B3B31"/>
    <w:rsid w:val="00615C2F"/>
    <w:rsid w:val="00625558"/>
    <w:rsid w:val="0065242A"/>
    <w:rsid w:val="00676421"/>
    <w:rsid w:val="006812B4"/>
    <w:rsid w:val="006C63FF"/>
    <w:rsid w:val="006E6CDC"/>
    <w:rsid w:val="00722449"/>
    <w:rsid w:val="00725695"/>
    <w:rsid w:val="00756233"/>
    <w:rsid w:val="007676F3"/>
    <w:rsid w:val="007A61D9"/>
    <w:rsid w:val="0083247C"/>
    <w:rsid w:val="008334B2"/>
    <w:rsid w:val="00863369"/>
    <w:rsid w:val="00866092"/>
    <w:rsid w:val="0088622E"/>
    <w:rsid w:val="00902C0B"/>
    <w:rsid w:val="00913FA1"/>
    <w:rsid w:val="00957DEF"/>
    <w:rsid w:val="009B524D"/>
    <w:rsid w:val="009F12C4"/>
    <w:rsid w:val="00A0461A"/>
    <w:rsid w:val="00A43E6C"/>
    <w:rsid w:val="00A71788"/>
    <w:rsid w:val="00A718B2"/>
    <w:rsid w:val="00AA32BB"/>
    <w:rsid w:val="00AC03D6"/>
    <w:rsid w:val="00B35C3F"/>
    <w:rsid w:val="00B438C6"/>
    <w:rsid w:val="00B54A61"/>
    <w:rsid w:val="00BB07F8"/>
    <w:rsid w:val="00C251C1"/>
    <w:rsid w:val="00C54267"/>
    <w:rsid w:val="00C63799"/>
    <w:rsid w:val="00C735A8"/>
    <w:rsid w:val="00CF3617"/>
    <w:rsid w:val="00DA3A88"/>
    <w:rsid w:val="00DA74C9"/>
    <w:rsid w:val="00DB154F"/>
    <w:rsid w:val="00DF152A"/>
    <w:rsid w:val="00DF6A8C"/>
    <w:rsid w:val="00EC53A0"/>
    <w:rsid w:val="00ED2988"/>
    <w:rsid w:val="00EE60AB"/>
    <w:rsid w:val="00F0015B"/>
    <w:rsid w:val="00F73F53"/>
    <w:rsid w:val="00F9293F"/>
    <w:rsid w:val="00F931F1"/>
    <w:rsid w:val="00FA73BE"/>
    <w:rsid w:val="00FD3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B4600"/>
  <w15:chartTrackingRefBased/>
  <w15:docId w15:val="{E866B412-0130-42DA-BC97-C3C9C8B26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3E5403"/>
    <w:rPr>
      <w:strike w:val="0"/>
      <w:dstrike w:val="0"/>
      <w:color w:val="006666"/>
      <w:u w:val="none"/>
      <w:effect w:val="none"/>
    </w:rPr>
  </w:style>
  <w:style w:type="character" w:styleId="lev">
    <w:name w:val="Strong"/>
    <w:basedOn w:val="Policepardfaut"/>
    <w:uiPriority w:val="22"/>
    <w:qFormat/>
    <w:rsid w:val="003E5403"/>
    <w:rPr>
      <w:b/>
      <w:bCs/>
    </w:rPr>
  </w:style>
  <w:style w:type="paragraph" w:styleId="Paragraphedeliste">
    <w:name w:val="List Paragraph"/>
    <w:basedOn w:val="Normal"/>
    <w:uiPriority w:val="34"/>
    <w:qFormat/>
    <w:rsid w:val="009B524D"/>
    <w:pPr>
      <w:ind w:left="720"/>
      <w:contextualSpacing/>
    </w:pPr>
  </w:style>
  <w:style w:type="table" w:styleId="Grilledutableau">
    <w:name w:val="Table Grid"/>
    <w:basedOn w:val="TableauNormal"/>
    <w:uiPriority w:val="39"/>
    <w:rsid w:val="00F92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F73F53"/>
    <w:pPr>
      <w:spacing w:after="0" w:line="360" w:lineRule="auto"/>
      <w:ind w:firstLine="1416"/>
      <w:jc w:val="both"/>
    </w:pPr>
    <w:rPr>
      <w:rFonts w:ascii="Times New Roman" w:eastAsia="Times New Roman" w:hAnsi="Times New Roman" w:cs="Times New Roman"/>
      <w:szCs w:val="20"/>
      <w:lang w:eastAsia="fr-FR"/>
    </w:rPr>
  </w:style>
  <w:style w:type="character" w:customStyle="1" w:styleId="Retraitcorpsdetexte2Car">
    <w:name w:val="Retrait corps de texte 2 Car"/>
    <w:basedOn w:val="Policepardfaut"/>
    <w:link w:val="Retraitcorpsdetexte2"/>
    <w:rsid w:val="00F73F53"/>
    <w:rPr>
      <w:rFonts w:ascii="Times New Roman" w:eastAsia="Times New Roman" w:hAnsi="Times New Roman" w:cs="Times New Roman"/>
      <w:szCs w:val="20"/>
      <w:lang w:eastAsia="fr-FR"/>
    </w:rPr>
  </w:style>
  <w:style w:type="table" w:customStyle="1" w:styleId="Grilledutableau1">
    <w:name w:val="Grille du tableau1"/>
    <w:basedOn w:val="TableauNormal"/>
    <w:next w:val="Grilledutableau"/>
    <w:rsid w:val="00DB154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B07F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B07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061731">
      <w:bodyDiv w:val="1"/>
      <w:marLeft w:val="0"/>
      <w:marRight w:val="0"/>
      <w:marTop w:val="0"/>
      <w:marBottom w:val="0"/>
      <w:divBdr>
        <w:top w:val="none" w:sz="0" w:space="0" w:color="auto"/>
        <w:left w:val="none" w:sz="0" w:space="0" w:color="auto"/>
        <w:bottom w:val="none" w:sz="0" w:space="0" w:color="auto"/>
        <w:right w:val="none" w:sz="0" w:space="0" w:color="auto"/>
      </w:divBdr>
      <w:divsChild>
        <w:div w:id="754713097">
          <w:marLeft w:val="0"/>
          <w:marRight w:val="0"/>
          <w:marTop w:val="100"/>
          <w:marBottom w:val="100"/>
          <w:divBdr>
            <w:top w:val="none" w:sz="0" w:space="0" w:color="auto"/>
            <w:left w:val="none" w:sz="0" w:space="0" w:color="auto"/>
            <w:bottom w:val="none" w:sz="0" w:space="0" w:color="auto"/>
            <w:right w:val="none" w:sz="0" w:space="0" w:color="auto"/>
          </w:divBdr>
          <w:divsChild>
            <w:div w:id="621693852">
              <w:marLeft w:val="0"/>
              <w:marRight w:val="0"/>
              <w:marTop w:val="0"/>
              <w:marBottom w:val="0"/>
              <w:divBdr>
                <w:top w:val="none" w:sz="0" w:space="0" w:color="auto"/>
                <w:left w:val="none" w:sz="0" w:space="0" w:color="auto"/>
                <w:bottom w:val="none" w:sz="0" w:space="0" w:color="auto"/>
                <w:right w:val="none" w:sz="0" w:space="0" w:color="auto"/>
              </w:divBdr>
              <w:divsChild>
                <w:div w:id="1801917943">
                  <w:marLeft w:val="0"/>
                  <w:marRight w:val="0"/>
                  <w:marTop w:val="0"/>
                  <w:marBottom w:val="0"/>
                  <w:divBdr>
                    <w:top w:val="none" w:sz="0" w:space="0" w:color="auto"/>
                    <w:left w:val="none" w:sz="0" w:space="0" w:color="auto"/>
                    <w:bottom w:val="none" w:sz="0" w:space="0" w:color="auto"/>
                    <w:right w:val="none" w:sz="0" w:space="0" w:color="auto"/>
                  </w:divBdr>
                  <w:divsChild>
                    <w:div w:id="1761950450">
                      <w:marLeft w:val="0"/>
                      <w:marRight w:val="0"/>
                      <w:marTop w:val="1800"/>
                      <w:marBottom w:val="100"/>
                      <w:divBdr>
                        <w:top w:val="none" w:sz="0" w:space="0" w:color="auto"/>
                        <w:left w:val="none" w:sz="0" w:space="0" w:color="auto"/>
                        <w:bottom w:val="none" w:sz="0" w:space="0" w:color="auto"/>
                        <w:right w:val="none" w:sz="0" w:space="0" w:color="auto"/>
                      </w:divBdr>
                      <w:divsChild>
                        <w:div w:id="66877831">
                          <w:marLeft w:val="0"/>
                          <w:marRight w:val="0"/>
                          <w:marTop w:val="0"/>
                          <w:marBottom w:val="0"/>
                          <w:divBdr>
                            <w:top w:val="none" w:sz="0" w:space="0" w:color="auto"/>
                            <w:left w:val="none" w:sz="0" w:space="0" w:color="auto"/>
                            <w:bottom w:val="none" w:sz="0" w:space="0" w:color="auto"/>
                            <w:right w:val="none" w:sz="0" w:space="0" w:color="auto"/>
                          </w:divBdr>
                          <w:divsChild>
                            <w:div w:id="28920223">
                              <w:marLeft w:val="0"/>
                              <w:marRight w:val="0"/>
                              <w:marTop w:val="0"/>
                              <w:marBottom w:val="0"/>
                              <w:divBdr>
                                <w:top w:val="none" w:sz="0" w:space="0" w:color="auto"/>
                                <w:left w:val="none" w:sz="0" w:space="0" w:color="auto"/>
                                <w:bottom w:val="none" w:sz="0" w:space="0" w:color="auto"/>
                                <w:right w:val="none" w:sz="0" w:space="0" w:color="auto"/>
                              </w:divBdr>
                              <w:divsChild>
                                <w:div w:id="1318194453">
                                  <w:marLeft w:val="0"/>
                                  <w:marRight w:val="0"/>
                                  <w:marTop w:val="0"/>
                                  <w:marBottom w:val="0"/>
                                  <w:divBdr>
                                    <w:top w:val="none" w:sz="0" w:space="0" w:color="auto"/>
                                    <w:left w:val="none" w:sz="0" w:space="0" w:color="auto"/>
                                    <w:bottom w:val="none" w:sz="0" w:space="0" w:color="auto"/>
                                    <w:right w:val="none" w:sz="0" w:space="0" w:color="auto"/>
                                  </w:divBdr>
                                  <w:divsChild>
                                    <w:div w:id="1444157157">
                                      <w:marLeft w:val="150"/>
                                      <w:marRight w:val="150"/>
                                      <w:marTop w:val="75"/>
                                      <w:marBottom w:val="225"/>
                                      <w:divBdr>
                                        <w:top w:val="none" w:sz="0" w:space="0" w:color="auto"/>
                                        <w:left w:val="none" w:sz="0" w:space="0" w:color="auto"/>
                                        <w:bottom w:val="none" w:sz="0" w:space="0" w:color="auto"/>
                                        <w:right w:val="none" w:sz="0" w:space="0" w:color="auto"/>
                                      </w:divBdr>
                                      <w:divsChild>
                                        <w:div w:id="187106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71023">
                                  <w:marLeft w:val="0"/>
                                  <w:marRight w:val="0"/>
                                  <w:marTop w:val="0"/>
                                  <w:marBottom w:val="0"/>
                                  <w:divBdr>
                                    <w:top w:val="none" w:sz="0" w:space="0" w:color="auto"/>
                                    <w:left w:val="none" w:sz="0" w:space="0" w:color="auto"/>
                                    <w:bottom w:val="none" w:sz="0" w:space="0" w:color="auto"/>
                                    <w:right w:val="none" w:sz="0" w:space="0" w:color="auto"/>
                                  </w:divBdr>
                                  <w:divsChild>
                                    <w:div w:id="1313484592">
                                      <w:marLeft w:val="150"/>
                                      <w:marRight w:val="150"/>
                                      <w:marTop w:val="0"/>
                                      <w:marBottom w:val="225"/>
                                      <w:divBdr>
                                        <w:top w:val="none" w:sz="0" w:space="0" w:color="auto"/>
                                        <w:left w:val="none" w:sz="0" w:space="0" w:color="auto"/>
                                        <w:bottom w:val="none" w:sz="0" w:space="0" w:color="auto"/>
                                        <w:right w:val="none" w:sz="0" w:space="0" w:color="auto"/>
                                      </w:divBdr>
                                      <w:divsChild>
                                        <w:div w:id="15005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6215">
                                  <w:marLeft w:val="0"/>
                                  <w:marRight w:val="0"/>
                                  <w:marTop w:val="0"/>
                                  <w:marBottom w:val="0"/>
                                  <w:divBdr>
                                    <w:top w:val="none" w:sz="0" w:space="0" w:color="auto"/>
                                    <w:left w:val="none" w:sz="0" w:space="0" w:color="auto"/>
                                    <w:bottom w:val="none" w:sz="0" w:space="0" w:color="auto"/>
                                    <w:right w:val="none" w:sz="0" w:space="0" w:color="auto"/>
                                  </w:divBdr>
                                  <w:divsChild>
                                    <w:div w:id="314073046">
                                      <w:marLeft w:val="150"/>
                                      <w:marRight w:val="150"/>
                                      <w:marTop w:val="0"/>
                                      <w:marBottom w:val="225"/>
                                      <w:divBdr>
                                        <w:top w:val="none" w:sz="0" w:space="0" w:color="auto"/>
                                        <w:left w:val="none" w:sz="0" w:space="0" w:color="auto"/>
                                        <w:bottom w:val="none" w:sz="0" w:space="0" w:color="auto"/>
                                        <w:right w:val="none" w:sz="0" w:space="0" w:color="auto"/>
                                      </w:divBdr>
                                      <w:divsChild>
                                        <w:div w:id="113875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56623">
                                  <w:marLeft w:val="0"/>
                                  <w:marRight w:val="0"/>
                                  <w:marTop w:val="0"/>
                                  <w:marBottom w:val="0"/>
                                  <w:divBdr>
                                    <w:top w:val="none" w:sz="0" w:space="0" w:color="auto"/>
                                    <w:left w:val="none" w:sz="0" w:space="0" w:color="auto"/>
                                    <w:bottom w:val="none" w:sz="0" w:space="0" w:color="auto"/>
                                    <w:right w:val="none" w:sz="0" w:space="0" w:color="auto"/>
                                  </w:divBdr>
                                  <w:divsChild>
                                    <w:div w:id="1612081601">
                                      <w:marLeft w:val="150"/>
                                      <w:marRight w:val="150"/>
                                      <w:marTop w:val="0"/>
                                      <w:marBottom w:val="225"/>
                                      <w:divBdr>
                                        <w:top w:val="none" w:sz="0" w:space="0" w:color="auto"/>
                                        <w:left w:val="none" w:sz="0" w:space="0" w:color="auto"/>
                                        <w:bottom w:val="none" w:sz="0" w:space="0" w:color="auto"/>
                                        <w:right w:val="none" w:sz="0" w:space="0" w:color="auto"/>
                                      </w:divBdr>
                                      <w:divsChild>
                                        <w:div w:id="17793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624738">
      <w:bodyDiv w:val="1"/>
      <w:marLeft w:val="0"/>
      <w:marRight w:val="0"/>
      <w:marTop w:val="0"/>
      <w:marBottom w:val="0"/>
      <w:divBdr>
        <w:top w:val="none" w:sz="0" w:space="0" w:color="auto"/>
        <w:left w:val="none" w:sz="0" w:space="0" w:color="auto"/>
        <w:bottom w:val="none" w:sz="0" w:space="0" w:color="auto"/>
        <w:right w:val="none" w:sz="0" w:space="0" w:color="auto"/>
      </w:divBdr>
      <w:divsChild>
        <w:div w:id="1660426611">
          <w:marLeft w:val="0"/>
          <w:marRight w:val="0"/>
          <w:marTop w:val="0"/>
          <w:marBottom w:val="0"/>
          <w:divBdr>
            <w:top w:val="none" w:sz="0" w:space="0" w:color="auto"/>
            <w:left w:val="none" w:sz="0" w:space="0" w:color="auto"/>
            <w:bottom w:val="none" w:sz="0" w:space="0" w:color="auto"/>
            <w:right w:val="none" w:sz="0" w:space="0" w:color="auto"/>
          </w:divBdr>
          <w:divsChild>
            <w:div w:id="1906330865">
              <w:marLeft w:val="0"/>
              <w:marRight w:val="0"/>
              <w:marTop w:val="0"/>
              <w:marBottom w:val="0"/>
              <w:divBdr>
                <w:top w:val="none" w:sz="0" w:space="0" w:color="auto"/>
                <w:left w:val="none" w:sz="0" w:space="0" w:color="auto"/>
                <w:bottom w:val="none" w:sz="0" w:space="0" w:color="auto"/>
                <w:right w:val="none" w:sz="0" w:space="0" w:color="auto"/>
              </w:divBdr>
              <w:divsChild>
                <w:div w:id="981158049">
                  <w:marLeft w:val="0"/>
                  <w:marRight w:val="0"/>
                  <w:marTop w:val="0"/>
                  <w:marBottom w:val="0"/>
                  <w:divBdr>
                    <w:top w:val="none" w:sz="0" w:space="0" w:color="auto"/>
                    <w:left w:val="none" w:sz="0" w:space="0" w:color="auto"/>
                    <w:bottom w:val="none" w:sz="0" w:space="0" w:color="auto"/>
                    <w:right w:val="none" w:sz="0" w:space="0" w:color="auto"/>
                  </w:divBdr>
                  <w:divsChild>
                    <w:div w:id="537855778">
                      <w:marLeft w:val="0"/>
                      <w:marRight w:val="0"/>
                      <w:marTop w:val="0"/>
                      <w:marBottom w:val="0"/>
                      <w:divBdr>
                        <w:top w:val="none" w:sz="0" w:space="0" w:color="auto"/>
                        <w:left w:val="none" w:sz="0" w:space="0" w:color="auto"/>
                        <w:bottom w:val="none" w:sz="0" w:space="0" w:color="auto"/>
                        <w:right w:val="none" w:sz="0" w:space="0" w:color="auto"/>
                      </w:divBdr>
                      <w:divsChild>
                        <w:div w:id="198981990">
                          <w:marLeft w:val="0"/>
                          <w:marRight w:val="0"/>
                          <w:marTop w:val="0"/>
                          <w:marBottom w:val="0"/>
                          <w:divBdr>
                            <w:top w:val="none" w:sz="0" w:space="0" w:color="auto"/>
                            <w:left w:val="none" w:sz="0" w:space="0" w:color="auto"/>
                            <w:bottom w:val="none" w:sz="0" w:space="0" w:color="auto"/>
                            <w:right w:val="none" w:sz="0" w:space="0" w:color="auto"/>
                          </w:divBdr>
                          <w:divsChild>
                            <w:div w:id="774835995">
                              <w:marLeft w:val="0"/>
                              <w:marRight w:val="0"/>
                              <w:marTop w:val="0"/>
                              <w:marBottom w:val="0"/>
                              <w:divBdr>
                                <w:top w:val="none" w:sz="0" w:space="0" w:color="auto"/>
                                <w:left w:val="none" w:sz="0" w:space="0" w:color="auto"/>
                                <w:bottom w:val="none" w:sz="0" w:space="0" w:color="auto"/>
                                <w:right w:val="none" w:sz="0" w:space="0" w:color="auto"/>
                              </w:divBdr>
                              <w:divsChild>
                                <w:div w:id="634994156">
                                  <w:marLeft w:val="0"/>
                                  <w:marRight w:val="0"/>
                                  <w:marTop w:val="0"/>
                                  <w:marBottom w:val="0"/>
                                  <w:divBdr>
                                    <w:top w:val="none" w:sz="0" w:space="0" w:color="auto"/>
                                    <w:left w:val="none" w:sz="0" w:space="0" w:color="auto"/>
                                    <w:bottom w:val="none" w:sz="0" w:space="0" w:color="auto"/>
                                    <w:right w:val="none" w:sz="0" w:space="0" w:color="auto"/>
                                  </w:divBdr>
                                  <w:divsChild>
                                    <w:div w:id="34710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www.lecoindesentrepreneurs.fr/les-apports-en-capital-social/" TargetMode="External"/><Relationship Id="rId3" Type="http://schemas.openxmlformats.org/officeDocument/2006/relationships/settings" Target="settings.xml"/><Relationship Id="rId7" Type="http://schemas.openxmlformats.org/officeDocument/2006/relationships/hyperlink" Target="http://www.cegar.fr/Le-besoin-en-fonds-de-roulement.php" TargetMode="External"/><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lecoindesentrepreneurs.fr/compte-courant-associe/" TargetMode="External"/><Relationship Id="rId5" Type="http://schemas.openxmlformats.org/officeDocument/2006/relationships/image" Target="media/image1.emf"/><Relationship Id="rId15" Type="http://schemas.openxmlformats.org/officeDocument/2006/relationships/fontTable" Target="fontTable.xml"/><Relationship Id="rId10" Type="http://schemas.openxmlformats.org/officeDocument/2006/relationships/hyperlink" Target="http://www.lecoindesentrepreneurs.fr/apports-en-nature/" TargetMode="External"/><Relationship Id="rId4" Type="http://schemas.openxmlformats.org/officeDocument/2006/relationships/webSettings" Target="webSettings.xml"/><Relationship Id="rId9" Type="http://schemas.openxmlformats.org/officeDocument/2006/relationships/hyperlink" Target="http://www.lecoindesentrepreneurs.fr/les-apports-en-numeraire/" TargetMode="External"/><Relationship Id="rId14" Type="http://schemas.openxmlformats.org/officeDocument/2006/relationships/hyperlink" Target="http://www.lecoindesentrepreneurs.fr/ameliorer-le-besoin-en-fonds-de-roulement-b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498</TotalTime>
  <Pages>5</Pages>
  <Words>2233</Words>
  <Characters>12283</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BERGARA</dc:creator>
  <cp:keywords/>
  <dc:description/>
  <cp:lastModifiedBy>Utilisateur Windows</cp:lastModifiedBy>
  <cp:revision>41</cp:revision>
  <dcterms:created xsi:type="dcterms:W3CDTF">2016-11-20T18:10:00Z</dcterms:created>
  <dcterms:modified xsi:type="dcterms:W3CDTF">2019-09-04T12:34:00Z</dcterms:modified>
</cp:coreProperties>
</file>