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620A8" w14:textId="77777777" w:rsidR="00E76E5E" w:rsidRPr="00CC1EE9" w:rsidRDefault="003F14A4" w:rsidP="00CC1EE9">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spacing w:before="120" w:after="120"/>
        <w:jc w:val="center"/>
        <w:rPr>
          <w:rFonts w:ascii="Calibri" w:hAnsi="Calibri" w:cs="Arial"/>
          <w:b/>
          <w:color w:val="FFFFFF"/>
        </w:rPr>
      </w:pPr>
      <w:r w:rsidRPr="00CC1EE9">
        <w:rPr>
          <w:rFonts w:ascii="Calibri" w:hAnsi="Calibri" w:cs="Arial"/>
          <w:b/>
          <w:color w:val="FFFFFF"/>
          <w:bdr w:val="single" w:sz="4" w:space="0" w:color="808080" w:themeColor="background1" w:themeShade="80"/>
        </w:rPr>
        <w:t>La définition de profitabilité</w:t>
      </w:r>
      <w:r w:rsidRPr="00CC1EE9">
        <w:rPr>
          <w:rFonts w:ascii="Calibri" w:hAnsi="Calibri" w:cs="Arial"/>
          <w:b/>
          <w:color w:val="FFFFFF"/>
        </w:rPr>
        <w:t xml:space="preserve"> et de la rentabilité</w:t>
      </w:r>
    </w:p>
    <w:p w14:paraId="04CF927E" w14:textId="77777777" w:rsidR="00180229" w:rsidRDefault="00180229" w:rsidP="003000FC">
      <w:pPr>
        <w:shd w:val="clear" w:color="auto" w:fill="FFFFFF"/>
        <w:jc w:val="both"/>
        <w:rPr>
          <w:rFonts w:ascii="Calibri" w:hAnsi="Calibri" w:cs="Arial"/>
          <w:color w:val="002060"/>
          <w:sz w:val="20"/>
          <w:szCs w:val="22"/>
        </w:rPr>
      </w:pPr>
    </w:p>
    <w:tbl>
      <w:tblPr>
        <w:tblStyle w:val="Grilledutableau"/>
        <w:tblW w:w="0" w:type="auto"/>
        <w:shd w:val="clear" w:color="auto" w:fill="F2F2F2" w:themeFill="background1" w:themeFillShade="F2"/>
        <w:tblLook w:val="04A0" w:firstRow="1" w:lastRow="0" w:firstColumn="1" w:lastColumn="0" w:noHBand="0" w:noVBand="1"/>
      </w:tblPr>
      <w:tblGrid>
        <w:gridCol w:w="10194"/>
      </w:tblGrid>
      <w:tr w:rsidR="00180229" w:rsidRPr="00CC1EE9" w14:paraId="1BA1B2B5" w14:textId="77777777" w:rsidTr="00180229">
        <w:tc>
          <w:tcPr>
            <w:tcW w:w="10194" w:type="dxa"/>
            <w:shd w:val="clear" w:color="auto" w:fill="F2F2F2" w:themeFill="background1" w:themeFillShade="F2"/>
          </w:tcPr>
          <w:p w14:paraId="2A33ADDD" w14:textId="77777777" w:rsidR="00180229" w:rsidRPr="00CC1EE9" w:rsidRDefault="00180229" w:rsidP="00B23258">
            <w:pPr>
              <w:shd w:val="clear" w:color="auto" w:fill="F2F2F2" w:themeFill="background1" w:themeFillShade="F2"/>
              <w:spacing w:before="120" w:after="120"/>
              <w:ind w:left="113" w:right="113"/>
              <w:jc w:val="both"/>
              <w:rPr>
                <w:rFonts w:ascii="Calibri" w:hAnsi="Calibri" w:cs="Arial"/>
                <w:color w:val="002060"/>
                <w:sz w:val="20"/>
                <w:szCs w:val="18"/>
              </w:rPr>
            </w:pPr>
            <w:r w:rsidRPr="00CC1EE9">
              <w:rPr>
                <w:rFonts w:ascii="Calibri" w:hAnsi="Calibri" w:cs="Arial"/>
                <w:color w:val="002060"/>
                <w:sz w:val="20"/>
                <w:szCs w:val="18"/>
              </w:rPr>
              <w:t xml:space="preserve">La </w:t>
            </w:r>
            <w:r w:rsidRPr="00CC1EE9">
              <w:rPr>
                <w:rFonts w:ascii="Calibri" w:hAnsi="Calibri" w:cs="Arial"/>
                <w:b/>
                <w:color w:val="002060"/>
                <w:sz w:val="20"/>
                <w:szCs w:val="18"/>
              </w:rPr>
              <w:t>profitabilité</w:t>
            </w:r>
            <w:r w:rsidRPr="00CC1EE9">
              <w:rPr>
                <w:rFonts w:ascii="Calibri" w:hAnsi="Calibri" w:cs="Arial"/>
                <w:color w:val="002060"/>
                <w:sz w:val="20"/>
                <w:szCs w:val="18"/>
              </w:rPr>
              <w:t xml:space="preserve"> peut être définie comme l’aptitude de l’entreprise à sécréter un certain niveau de résultat ou revenu pour un volume d’affaires donné.</w:t>
            </w:r>
          </w:p>
        </w:tc>
      </w:tr>
    </w:tbl>
    <w:p w14:paraId="25517ECE" w14:textId="77777777" w:rsidR="00180229" w:rsidRDefault="003F14A4" w:rsidP="00654CF8">
      <w:pPr>
        <w:shd w:val="clear" w:color="auto" w:fill="FFFFFF"/>
        <w:spacing w:before="60" w:after="120"/>
        <w:jc w:val="both"/>
        <w:rPr>
          <w:rFonts w:ascii="Calibri" w:hAnsi="Calibri" w:cs="Arial"/>
          <w:color w:val="002060"/>
          <w:sz w:val="20"/>
          <w:szCs w:val="22"/>
        </w:rPr>
      </w:pPr>
      <w:r w:rsidRPr="007D06C2">
        <w:rPr>
          <w:rFonts w:ascii="Calibri" w:hAnsi="Calibri" w:cs="Arial"/>
          <w:color w:val="002060"/>
          <w:sz w:val="20"/>
          <w:szCs w:val="22"/>
        </w:rPr>
        <w:t xml:space="preserve">Elle est </w:t>
      </w:r>
      <w:r w:rsidR="00806F4F" w:rsidRPr="007D06C2">
        <w:rPr>
          <w:rFonts w:ascii="Calibri" w:hAnsi="Calibri" w:cs="Arial"/>
          <w:color w:val="002060"/>
          <w:sz w:val="20"/>
          <w:szCs w:val="22"/>
        </w:rPr>
        <w:t>appréhendée</w:t>
      </w:r>
      <w:r w:rsidRPr="007D06C2">
        <w:rPr>
          <w:rFonts w:ascii="Calibri" w:hAnsi="Calibri" w:cs="Arial"/>
          <w:color w:val="002060"/>
          <w:sz w:val="20"/>
          <w:szCs w:val="22"/>
        </w:rPr>
        <w:t xml:space="preserve"> par le taux de profitabilité qui rapproche un flux de revenu perçu au cours d’une période et une mesure du flux d’activité (chiffre d’affaires, production ou valeur ajoutée). Selon la spécification du terme retenu au numérateur, on peut déterminer soit une profitabilité économique, soit une profitabilité financière.</w:t>
      </w:r>
    </w:p>
    <w:tbl>
      <w:tblPr>
        <w:tblStyle w:val="Grilledutableau"/>
        <w:tblW w:w="0" w:type="auto"/>
        <w:shd w:val="clear" w:color="auto" w:fill="F2F2F2" w:themeFill="background1" w:themeFillShade="F2"/>
        <w:tblLook w:val="04A0" w:firstRow="1" w:lastRow="0" w:firstColumn="1" w:lastColumn="0" w:noHBand="0" w:noVBand="1"/>
      </w:tblPr>
      <w:tblGrid>
        <w:gridCol w:w="10194"/>
      </w:tblGrid>
      <w:tr w:rsidR="00180229" w:rsidRPr="00CC1EE9" w14:paraId="6E101EE6" w14:textId="77777777" w:rsidTr="00B23258">
        <w:tc>
          <w:tcPr>
            <w:tcW w:w="10194" w:type="dxa"/>
            <w:shd w:val="clear" w:color="auto" w:fill="F2F2F2" w:themeFill="background1" w:themeFillShade="F2"/>
          </w:tcPr>
          <w:p w14:paraId="427A6F64" w14:textId="77777777" w:rsidR="00180229" w:rsidRPr="00CC1EE9" w:rsidRDefault="00B23258" w:rsidP="00B23258">
            <w:pPr>
              <w:shd w:val="clear" w:color="auto" w:fill="F2F2F2" w:themeFill="background1" w:themeFillShade="F2"/>
              <w:spacing w:before="120" w:after="120"/>
              <w:ind w:left="113" w:right="113"/>
              <w:jc w:val="both"/>
              <w:rPr>
                <w:rFonts w:ascii="Calibri" w:hAnsi="Calibri" w:cs="Arial"/>
                <w:color w:val="002060"/>
                <w:sz w:val="20"/>
                <w:szCs w:val="18"/>
              </w:rPr>
            </w:pPr>
            <w:r w:rsidRPr="00CC1EE9">
              <w:rPr>
                <w:rFonts w:ascii="Calibri" w:hAnsi="Calibri" w:cs="Arial"/>
                <w:color w:val="002060"/>
                <w:sz w:val="20"/>
                <w:szCs w:val="18"/>
              </w:rPr>
              <w:t xml:space="preserve">La </w:t>
            </w:r>
            <w:r w:rsidRPr="00CC1EE9">
              <w:rPr>
                <w:rFonts w:ascii="Calibri" w:hAnsi="Calibri" w:cs="Arial"/>
                <w:b/>
                <w:color w:val="002060"/>
                <w:sz w:val="20"/>
                <w:szCs w:val="18"/>
              </w:rPr>
              <w:t>rentabilité</w:t>
            </w:r>
            <w:r w:rsidRPr="00CC1EE9">
              <w:rPr>
                <w:rFonts w:ascii="Calibri" w:hAnsi="Calibri" w:cs="Arial"/>
                <w:color w:val="002060"/>
                <w:sz w:val="20"/>
                <w:szCs w:val="18"/>
              </w:rPr>
              <w:t xml:space="preserve"> est généralement définie comme l’aptitude de l’entreprise à accroître la valeur des capitaux investis autrement dit, à dégager un certain niveau de résultat ou de revenu pour un montant donné de ressources engagées dans l’entreprise.</w:t>
            </w:r>
          </w:p>
        </w:tc>
      </w:tr>
    </w:tbl>
    <w:p w14:paraId="7B7E5A02" w14:textId="77777777" w:rsidR="003A5B34" w:rsidRDefault="003F14A4" w:rsidP="00B23258">
      <w:pPr>
        <w:spacing w:before="60" w:after="60"/>
        <w:jc w:val="both"/>
        <w:rPr>
          <w:rFonts w:ascii="Calibri" w:hAnsi="Calibri" w:cs="Arial"/>
          <w:color w:val="002060"/>
          <w:sz w:val="20"/>
          <w:szCs w:val="22"/>
        </w:rPr>
      </w:pPr>
      <w:r w:rsidRPr="007D06C2">
        <w:rPr>
          <w:rFonts w:ascii="Calibri" w:hAnsi="Calibri" w:cs="Arial"/>
          <w:color w:val="002060"/>
          <w:sz w:val="20"/>
          <w:szCs w:val="22"/>
        </w:rPr>
        <w:t>Un taux de rentabilité exprime</w:t>
      </w:r>
      <w:r w:rsidR="00806F4F" w:rsidRPr="007D06C2">
        <w:rPr>
          <w:rFonts w:ascii="Calibri" w:hAnsi="Calibri" w:cs="Arial"/>
          <w:color w:val="002060"/>
          <w:sz w:val="20"/>
          <w:szCs w:val="22"/>
        </w:rPr>
        <w:t xml:space="preserve"> le rapport entre un flux de revenu perçu au cours d’une période et la masse des capitaux investis pour l’obtenir. Selon la spécification des termes retenus au numérateur et au dénominateur, on exprime soit la rentabilité (ou rendement) des capitaux investis sous forme d’actifs dans les activités de l’entreprise, soit la rentabilité des seuls capitaux propres. </w:t>
      </w:r>
    </w:p>
    <w:p w14:paraId="394FF3B1" w14:textId="77777777" w:rsidR="003A5B34" w:rsidRDefault="00806F4F" w:rsidP="003A5B34">
      <w:pPr>
        <w:spacing w:after="60"/>
        <w:jc w:val="both"/>
        <w:rPr>
          <w:rFonts w:ascii="Calibri" w:hAnsi="Calibri" w:cs="Arial"/>
          <w:color w:val="002060"/>
          <w:sz w:val="20"/>
          <w:szCs w:val="22"/>
        </w:rPr>
      </w:pPr>
      <w:r w:rsidRPr="007D06C2">
        <w:rPr>
          <w:rFonts w:ascii="Calibri" w:hAnsi="Calibri" w:cs="Arial"/>
          <w:color w:val="002060"/>
          <w:sz w:val="20"/>
          <w:szCs w:val="22"/>
        </w:rPr>
        <w:t xml:space="preserve">Une mesure de la rentabilité en accord avec la théorie financière se heurte à des difficultés pratiques notamment en matière d’évaluation des actifs de la théorie économique néoclassique. Ainsi, la valeur d’un actif ou du portefeuille d’actifs d’une entreprise est la somme des flux futurs actualisés qu’il est susceptible de sécréter. </w:t>
      </w:r>
    </w:p>
    <w:p w14:paraId="4B44959B" w14:textId="77777777" w:rsidR="00857EF0" w:rsidRPr="007D06C2" w:rsidRDefault="00806F4F" w:rsidP="00B23258">
      <w:pPr>
        <w:spacing w:after="120"/>
        <w:jc w:val="both"/>
        <w:rPr>
          <w:rFonts w:ascii="Calibri" w:hAnsi="Calibri" w:cs="Arial"/>
          <w:color w:val="002060"/>
          <w:sz w:val="20"/>
          <w:szCs w:val="22"/>
        </w:rPr>
      </w:pPr>
      <w:r w:rsidRPr="007D06C2">
        <w:rPr>
          <w:rFonts w:ascii="Calibri" w:hAnsi="Calibri" w:cs="Arial"/>
          <w:color w:val="002060"/>
          <w:sz w:val="20"/>
          <w:szCs w:val="22"/>
        </w:rPr>
        <w:t>Le taux d’actualisation retenu est le taux de rentabilité espéré par les bailleurs de fonds. Ce taux dépend des opportunités d’investissement ou de placement et des risques encourus. Faute de disposer des données nécessaires pour une telle valorisation des capitaux investis, on utilise en analyse financière les évaluations comptables des actifs ou des capitaux propres pour calculer</w:t>
      </w:r>
      <w:r w:rsidR="00CE6F8E" w:rsidRPr="007D06C2">
        <w:rPr>
          <w:rFonts w:ascii="Calibri" w:hAnsi="Calibri" w:cs="Arial"/>
          <w:color w:val="002060"/>
          <w:sz w:val="20"/>
          <w:szCs w:val="22"/>
        </w:rPr>
        <w:t xml:space="preserve"> les taux de rentabilité économique ou financière. Ces derniers ne constituent que des mesures comptables de la rentabilité.</w:t>
      </w:r>
    </w:p>
    <w:p w14:paraId="212C4004" w14:textId="77777777" w:rsidR="00857EF0" w:rsidRPr="00CC1EE9" w:rsidRDefault="00857EF0" w:rsidP="00CC1EE9">
      <w:pPr>
        <w:spacing w:after="60"/>
        <w:jc w:val="both"/>
        <w:rPr>
          <w:rFonts w:ascii="Calibri" w:hAnsi="Calibri" w:cs="Arial"/>
          <w:color w:val="002060"/>
          <w:sz w:val="22"/>
          <w:szCs w:val="20"/>
        </w:rPr>
      </w:pPr>
      <w:r w:rsidRPr="00CC1EE9">
        <w:rPr>
          <w:rFonts w:ascii="Calibri" w:hAnsi="Calibri" w:cs="Arial"/>
          <w:b/>
          <w:color w:val="002060"/>
          <w:sz w:val="22"/>
          <w:szCs w:val="20"/>
        </w:rPr>
        <w:t>La profitabilité et la rentabilité économiques</w:t>
      </w:r>
    </w:p>
    <w:p w14:paraId="39A091BA" w14:textId="77777777" w:rsidR="00857EF0" w:rsidRDefault="00857EF0" w:rsidP="006D07C2">
      <w:pPr>
        <w:spacing w:after="120"/>
        <w:jc w:val="both"/>
        <w:rPr>
          <w:rFonts w:ascii="Calibri" w:hAnsi="Calibri" w:cs="Arial"/>
          <w:color w:val="002060"/>
          <w:sz w:val="20"/>
          <w:szCs w:val="22"/>
        </w:rPr>
      </w:pPr>
      <w:r w:rsidRPr="007D06C2">
        <w:rPr>
          <w:rFonts w:ascii="Calibri" w:hAnsi="Calibri" w:cs="Arial"/>
          <w:color w:val="002060"/>
          <w:sz w:val="20"/>
          <w:szCs w:val="22"/>
        </w:rPr>
        <w:t>L’analyse de la performance économique globale de l’entreprise nécessite de distinguer les activités industrielles et commerciales des activités financières ou de trésorerie. Nous nous intéressons ici à la mesure de la performance des seules activités industrielles et commerciales.</w:t>
      </w:r>
    </w:p>
    <w:p w14:paraId="60034FDB" w14:textId="77777777" w:rsidR="008E47C6" w:rsidRPr="006D07C2" w:rsidRDefault="00857EF0" w:rsidP="006D07C2">
      <w:pPr>
        <w:pStyle w:val="Paragraphedeliste"/>
        <w:numPr>
          <w:ilvl w:val="0"/>
          <w:numId w:val="4"/>
        </w:numPr>
        <w:spacing w:after="60"/>
        <w:ind w:left="170" w:hanging="170"/>
        <w:contextualSpacing w:val="0"/>
        <w:jc w:val="both"/>
        <w:rPr>
          <w:rFonts w:ascii="Calibri" w:hAnsi="Calibri" w:cs="Arial"/>
          <w:color w:val="002060"/>
          <w:sz w:val="20"/>
          <w:szCs w:val="22"/>
        </w:rPr>
      </w:pPr>
      <w:r w:rsidRPr="006D07C2">
        <w:rPr>
          <w:rFonts w:ascii="Calibri" w:hAnsi="Calibri" w:cs="Arial"/>
          <w:b/>
          <w:color w:val="002060"/>
          <w:sz w:val="20"/>
          <w:szCs w:val="22"/>
        </w:rPr>
        <w:t>Pour exprimer la profitabilité économique</w:t>
      </w:r>
      <w:r w:rsidRPr="006D07C2">
        <w:rPr>
          <w:rFonts w:ascii="Calibri" w:hAnsi="Calibri" w:cs="Arial"/>
          <w:color w:val="002060"/>
          <w:sz w:val="20"/>
          <w:szCs w:val="22"/>
        </w:rPr>
        <w:t xml:space="preserve">, </w:t>
      </w:r>
      <w:r w:rsidR="006D07C2" w:rsidRPr="006D07C2">
        <w:rPr>
          <w:rFonts w:ascii="Calibri" w:hAnsi="Calibri" w:cs="Arial"/>
          <w:color w:val="002060"/>
          <w:sz w:val="20"/>
          <w:szCs w:val="22"/>
        </w:rPr>
        <w:t>2</w:t>
      </w:r>
      <w:r w:rsidRPr="006D07C2">
        <w:rPr>
          <w:rFonts w:ascii="Calibri" w:hAnsi="Calibri" w:cs="Arial"/>
          <w:color w:val="002060"/>
          <w:sz w:val="20"/>
          <w:szCs w:val="22"/>
        </w:rPr>
        <w:t xml:space="preserve"> indicateurs peuvent être retenus : </w:t>
      </w:r>
    </w:p>
    <w:p w14:paraId="7A1B62BE" w14:textId="77777777" w:rsidR="008E47C6" w:rsidRPr="007D06C2" w:rsidRDefault="006D07C2" w:rsidP="006D07C2">
      <w:pPr>
        <w:spacing w:after="60"/>
        <w:ind w:left="340" w:hanging="170"/>
        <w:jc w:val="both"/>
        <w:rPr>
          <w:rFonts w:ascii="Calibri" w:hAnsi="Calibri" w:cs="Arial"/>
          <w:color w:val="002060"/>
          <w:sz w:val="20"/>
          <w:szCs w:val="22"/>
        </w:rPr>
      </w:pPr>
      <w:r>
        <w:rPr>
          <w:rFonts w:ascii="Calibri" w:hAnsi="Calibri" w:cs="Arial"/>
          <w:color w:val="002060"/>
          <w:sz w:val="20"/>
          <w:szCs w:val="22"/>
        </w:rPr>
        <w:t>1. L</w:t>
      </w:r>
      <w:r w:rsidR="00857EF0" w:rsidRPr="007D06C2">
        <w:rPr>
          <w:rFonts w:ascii="Calibri" w:hAnsi="Calibri" w:cs="Arial"/>
          <w:color w:val="002060"/>
          <w:sz w:val="20"/>
          <w:szCs w:val="22"/>
        </w:rPr>
        <w:t xml:space="preserve">e taux de marge brute d’exploitation </w:t>
      </w:r>
    </w:p>
    <w:p w14:paraId="07A7F93B" w14:textId="77777777" w:rsidR="008E47C6" w:rsidRPr="006D07C2" w:rsidRDefault="006D07C2" w:rsidP="006D07C2">
      <w:pPr>
        <w:pStyle w:val="Paragraphedeliste"/>
        <w:numPr>
          <w:ilvl w:val="0"/>
          <w:numId w:val="6"/>
        </w:numPr>
        <w:spacing w:after="120"/>
        <w:ind w:left="340" w:hanging="170"/>
        <w:jc w:val="both"/>
        <w:rPr>
          <w:rFonts w:ascii="Calibri" w:hAnsi="Calibri" w:cs="Arial"/>
          <w:color w:val="002060"/>
          <w:sz w:val="20"/>
          <w:szCs w:val="22"/>
        </w:rPr>
      </w:pPr>
      <w:r w:rsidRPr="006D07C2">
        <w:rPr>
          <w:rFonts w:ascii="Calibri" w:hAnsi="Calibri" w:cs="Arial"/>
          <w:color w:val="002060"/>
          <w:sz w:val="20"/>
          <w:szCs w:val="22"/>
        </w:rPr>
        <w:t>Et</w:t>
      </w:r>
      <w:r w:rsidR="00857EF0" w:rsidRPr="006D07C2">
        <w:rPr>
          <w:rFonts w:ascii="Calibri" w:hAnsi="Calibri" w:cs="Arial"/>
          <w:color w:val="002060"/>
          <w:sz w:val="20"/>
          <w:szCs w:val="22"/>
        </w:rPr>
        <w:t xml:space="preserve"> le taux de marge nette d’exploitation (ou économique). </w:t>
      </w:r>
    </w:p>
    <w:p w14:paraId="5210F69E" w14:textId="77777777" w:rsidR="00654CF8" w:rsidRDefault="006D07C2" w:rsidP="00654CF8">
      <w:pPr>
        <w:ind w:left="340" w:hanging="170"/>
        <w:jc w:val="both"/>
        <w:rPr>
          <w:rFonts w:ascii="Calibri" w:hAnsi="Calibri" w:cs="Arial"/>
          <w:color w:val="002060"/>
          <w:sz w:val="20"/>
          <w:szCs w:val="22"/>
        </w:rPr>
      </w:pPr>
      <w:r w:rsidRPr="00355993">
        <w:rPr>
          <w:rFonts w:ascii="Calibri" w:hAnsi="Calibri"/>
          <w:noProof/>
          <w:color w:val="002060"/>
          <w:sz w:val="20"/>
          <w:szCs w:val="20"/>
        </w:rPr>
        <w:drawing>
          <wp:inline distT="0" distB="0" distL="0" distR="0" wp14:anchorId="6FB66B68" wp14:editId="44437668">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57EF0" w:rsidRPr="007D06C2">
        <w:rPr>
          <w:rFonts w:ascii="Calibri" w:hAnsi="Calibri" w:cs="Arial"/>
          <w:color w:val="002060"/>
          <w:sz w:val="20"/>
          <w:szCs w:val="22"/>
        </w:rPr>
        <w:t xml:space="preserve">Le premier rapporte l’excédent brut d’exploitation (EBE) au chiffre d’affaires ou à la valeur ajoutée (EBE/CA ou EBE/VA). </w:t>
      </w:r>
    </w:p>
    <w:p w14:paraId="6FD1EF5A" w14:textId="77777777" w:rsidR="008E47C6" w:rsidRPr="00654CF8" w:rsidRDefault="00857EF0" w:rsidP="00654CF8">
      <w:pPr>
        <w:spacing w:after="60"/>
        <w:ind w:left="340"/>
        <w:jc w:val="both"/>
        <w:rPr>
          <w:rFonts w:ascii="Calibri" w:hAnsi="Calibri" w:cs="Arial"/>
          <w:color w:val="002060"/>
          <w:sz w:val="20"/>
          <w:szCs w:val="22"/>
        </w:rPr>
      </w:pPr>
      <w:r w:rsidRPr="00654CF8">
        <w:rPr>
          <w:rFonts w:ascii="Calibri" w:hAnsi="Calibri" w:cs="Arial"/>
          <w:color w:val="002060"/>
          <w:sz w:val="20"/>
          <w:szCs w:val="22"/>
        </w:rPr>
        <w:t xml:space="preserve">Le taux de marge brute constitue une première mesure de la </w:t>
      </w:r>
      <w:r w:rsidRPr="00654CF8">
        <w:rPr>
          <w:rFonts w:ascii="Calibri" w:hAnsi="Calibri" w:cs="Arial"/>
          <w:b/>
          <w:color w:val="002060"/>
          <w:sz w:val="20"/>
          <w:szCs w:val="22"/>
        </w:rPr>
        <w:t>capacité bénéficiaire</w:t>
      </w:r>
      <w:r w:rsidRPr="00654CF8">
        <w:rPr>
          <w:rFonts w:ascii="Calibri" w:hAnsi="Calibri" w:cs="Arial"/>
          <w:color w:val="002060"/>
          <w:sz w:val="20"/>
          <w:szCs w:val="22"/>
        </w:rPr>
        <w:t xml:space="preserve"> de l’entreprise indépendamment de sa politique financière ou fiscale et de ses choix en matière d’amortissement des équipements. </w:t>
      </w:r>
    </w:p>
    <w:p w14:paraId="63D8355F" w14:textId="77777777" w:rsidR="00654CF8" w:rsidRDefault="006D07C2" w:rsidP="00654CF8">
      <w:pPr>
        <w:ind w:left="340" w:hanging="170"/>
        <w:jc w:val="both"/>
        <w:rPr>
          <w:rFonts w:ascii="Calibri" w:hAnsi="Calibri" w:cs="Arial"/>
          <w:color w:val="002060"/>
          <w:sz w:val="20"/>
          <w:szCs w:val="22"/>
        </w:rPr>
      </w:pPr>
      <w:r w:rsidRPr="00355993">
        <w:rPr>
          <w:rFonts w:ascii="Calibri" w:hAnsi="Calibri"/>
          <w:noProof/>
          <w:color w:val="002060"/>
          <w:sz w:val="20"/>
          <w:szCs w:val="20"/>
        </w:rPr>
        <w:drawing>
          <wp:inline distT="0" distB="0" distL="0" distR="0" wp14:anchorId="6B2256E9" wp14:editId="1F6D0E66">
            <wp:extent cx="114300" cy="95250"/>
            <wp:effectExtent l="0" t="0" r="0" b="0"/>
            <wp:docPr id="3" name="Image 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57EF0" w:rsidRPr="007D06C2">
        <w:rPr>
          <w:rFonts w:ascii="Calibri" w:hAnsi="Calibri" w:cs="Arial"/>
          <w:color w:val="002060"/>
          <w:sz w:val="20"/>
          <w:szCs w:val="22"/>
        </w:rPr>
        <w:t xml:space="preserve">Le second, le taux de marge nette d’exploitation exprime la relation entre le résultat d’exploitation (RE) et le chiffre d’affaires ou la valeur ajoutée (RE/CA ou RE/VA). </w:t>
      </w:r>
    </w:p>
    <w:p w14:paraId="78846A14" w14:textId="77777777" w:rsidR="00857EF0" w:rsidRPr="007D06C2" w:rsidRDefault="00857EF0" w:rsidP="00654CF8">
      <w:pPr>
        <w:spacing w:after="120"/>
        <w:ind w:left="340"/>
        <w:jc w:val="both"/>
        <w:rPr>
          <w:rFonts w:ascii="Calibri" w:hAnsi="Calibri" w:cs="Arial"/>
          <w:color w:val="002060"/>
          <w:sz w:val="20"/>
          <w:szCs w:val="22"/>
        </w:rPr>
      </w:pPr>
      <w:r w:rsidRPr="00654CF8">
        <w:rPr>
          <w:rFonts w:ascii="Calibri" w:hAnsi="Calibri" w:cs="Arial"/>
          <w:color w:val="002060"/>
          <w:sz w:val="20"/>
          <w:szCs w:val="22"/>
        </w:rPr>
        <w:t xml:space="preserve">Il représente une mesure de la </w:t>
      </w:r>
      <w:r w:rsidRPr="00654CF8">
        <w:rPr>
          <w:rFonts w:ascii="Calibri" w:hAnsi="Calibri" w:cs="Arial"/>
          <w:b/>
          <w:color w:val="002060"/>
          <w:sz w:val="20"/>
          <w:szCs w:val="22"/>
        </w:rPr>
        <w:t>profitabilité</w:t>
      </w:r>
      <w:r w:rsidRPr="00654CF8">
        <w:rPr>
          <w:rFonts w:ascii="Calibri" w:hAnsi="Calibri" w:cs="Arial"/>
          <w:color w:val="002060"/>
          <w:sz w:val="20"/>
          <w:szCs w:val="22"/>
        </w:rPr>
        <w:t xml:space="preserve"> des activités industrielles et commerciales indépendante de la forme de la fonction de production</w:t>
      </w:r>
      <w:r w:rsidRPr="007D06C2">
        <w:rPr>
          <w:rFonts w:ascii="Calibri" w:hAnsi="Calibri" w:cs="Arial"/>
          <w:color w:val="002060"/>
          <w:sz w:val="20"/>
          <w:szCs w:val="22"/>
        </w:rPr>
        <w:t>.</w:t>
      </w:r>
    </w:p>
    <w:p w14:paraId="0AE6890A" w14:textId="77777777" w:rsidR="00654CF8" w:rsidRDefault="00857EF0" w:rsidP="00654CF8">
      <w:pPr>
        <w:pStyle w:val="Paragraphedeliste"/>
        <w:numPr>
          <w:ilvl w:val="0"/>
          <w:numId w:val="5"/>
        </w:numPr>
        <w:spacing w:after="60"/>
        <w:ind w:left="170" w:hanging="170"/>
        <w:contextualSpacing w:val="0"/>
        <w:jc w:val="both"/>
        <w:rPr>
          <w:rFonts w:ascii="Calibri" w:hAnsi="Calibri" w:cs="Arial"/>
          <w:color w:val="002060"/>
          <w:sz w:val="20"/>
          <w:szCs w:val="22"/>
        </w:rPr>
      </w:pPr>
      <w:r w:rsidRPr="00B23258">
        <w:rPr>
          <w:rFonts w:ascii="Calibri" w:hAnsi="Calibri" w:cs="Arial"/>
          <w:b/>
          <w:color w:val="002060"/>
          <w:sz w:val="20"/>
          <w:szCs w:val="22"/>
        </w:rPr>
        <w:t>La rentabilité économique brute</w:t>
      </w:r>
      <w:r w:rsidRPr="00B23258">
        <w:rPr>
          <w:rFonts w:ascii="Calibri" w:hAnsi="Calibri" w:cs="Arial"/>
          <w:color w:val="002060"/>
          <w:sz w:val="20"/>
          <w:szCs w:val="22"/>
        </w:rPr>
        <w:t xml:space="preserve"> </w:t>
      </w:r>
    </w:p>
    <w:p w14:paraId="4923FD34" w14:textId="77777777" w:rsidR="00857EF0" w:rsidRPr="00B23258" w:rsidRDefault="00654CF8" w:rsidP="00654CF8">
      <w:pPr>
        <w:pStyle w:val="Paragraphedeliste"/>
        <w:spacing w:after="60"/>
        <w:ind w:left="170"/>
        <w:jc w:val="both"/>
        <w:rPr>
          <w:rFonts w:ascii="Calibri" w:hAnsi="Calibri" w:cs="Arial"/>
          <w:color w:val="002060"/>
          <w:sz w:val="20"/>
          <w:szCs w:val="22"/>
        </w:rPr>
      </w:pPr>
      <w:r>
        <w:rPr>
          <w:rFonts w:ascii="Calibri" w:hAnsi="Calibri" w:cs="Arial"/>
          <w:color w:val="002060"/>
          <w:sz w:val="20"/>
          <w:szCs w:val="22"/>
        </w:rPr>
        <w:t xml:space="preserve">Elle </w:t>
      </w:r>
      <w:r w:rsidR="00857EF0" w:rsidRPr="00B23258">
        <w:rPr>
          <w:rFonts w:ascii="Calibri" w:hAnsi="Calibri" w:cs="Arial"/>
          <w:color w:val="002060"/>
          <w:sz w:val="20"/>
          <w:szCs w:val="22"/>
        </w:rPr>
        <w:t>est appréciée à travers le ratio</w:t>
      </w:r>
      <w:r w:rsidR="00B34ECB" w:rsidRPr="00B23258">
        <w:rPr>
          <w:rFonts w:ascii="Calibri" w:hAnsi="Calibri" w:cs="Arial"/>
          <w:color w:val="002060"/>
          <w:sz w:val="20"/>
          <w:szCs w:val="22"/>
        </w:rPr>
        <w:t xml:space="preserve"> EBE/Capitaux investis dans l’exploitation (CI). Ces derniers sont composés des immobilisations d’exploitation et du besoin de financement liés au cycle d’exploitation.</w:t>
      </w:r>
    </w:p>
    <w:p w14:paraId="04B5930E" w14:textId="77777777" w:rsidR="00B23258" w:rsidRDefault="00B34ECB" w:rsidP="00B23258">
      <w:pPr>
        <w:spacing w:after="60"/>
        <w:ind w:left="170"/>
        <w:jc w:val="both"/>
        <w:rPr>
          <w:rFonts w:ascii="Calibri" w:hAnsi="Calibri" w:cs="Arial"/>
          <w:color w:val="002060"/>
          <w:sz w:val="20"/>
          <w:szCs w:val="22"/>
        </w:rPr>
      </w:pPr>
      <w:r w:rsidRPr="007D06C2">
        <w:rPr>
          <w:rFonts w:ascii="Calibri" w:hAnsi="Calibri" w:cs="Arial"/>
          <w:color w:val="002060"/>
          <w:sz w:val="20"/>
          <w:szCs w:val="22"/>
        </w:rPr>
        <w:t>En matière</w:t>
      </w:r>
      <w:r w:rsidR="00B6355E" w:rsidRPr="007D06C2">
        <w:rPr>
          <w:rFonts w:ascii="Calibri" w:hAnsi="Calibri" w:cs="Arial"/>
          <w:color w:val="002060"/>
          <w:sz w:val="20"/>
          <w:szCs w:val="22"/>
        </w:rPr>
        <w:t xml:space="preserve"> de valorisation des capitaux investis dans l’exploitation, la pratique montre qu’il existe </w:t>
      </w:r>
      <w:r w:rsidR="00B23258">
        <w:rPr>
          <w:rFonts w:ascii="Calibri" w:hAnsi="Calibri" w:cs="Arial"/>
          <w:color w:val="002060"/>
          <w:sz w:val="20"/>
          <w:szCs w:val="22"/>
        </w:rPr>
        <w:t>2</w:t>
      </w:r>
      <w:r w:rsidR="00B6355E" w:rsidRPr="00B23258">
        <w:rPr>
          <w:rFonts w:ascii="Calibri" w:hAnsi="Calibri" w:cs="Arial"/>
          <w:color w:val="002060"/>
          <w:sz w:val="20"/>
          <w:szCs w:val="22"/>
        </w:rPr>
        <w:t xml:space="preserve"> options</w:t>
      </w:r>
      <w:r w:rsidR="00B6355E" w:rsidRPr="007D06C2">
        <w:rPr>
          <w:rFonts w:ascii="Calibri" w:hAnsi="Calibri" w:cs="Arial"/>
          <w:color w:val="002060"/>
          <w:sz w:val="20"/>
          <w:szCs w:val="22"/>
        </w:rPr>
        <w:t> : les mesurer</w:t>
      </w:r>
    </w:p>
    <w:p w14:paraId="44D7276C" w14:textId="77777777" w:rsidR="00B23258" w:rsidRDefault="00B6355E" w:rsidP="00B23258">
      <w:pPr>
        <w:pStyle w:val="Paragraphedeliste"/>
        <w:numPr>
          <w:ilvl w:val="0"/>
          <w:numId w:val="4"/>
        </w:numPr>
        <w:spacing w:after="60"/>
        <w:ind w:left="340" w:hanging="170"/>
        <w:contextualSpacing w:val="0"/>
        <w:jc w:val="both"/>
        <w:rPr>
          <w:rFonts w:ascii="Calibri" w:hAnsi="Calibri" w:cs="Arial"/>
          <w:color w:val="002060"/>
          <w:sz w:val="20"/>
          <w:szCs w:val="22"/>
        </w:rPr>
      </w:pPr>
      <w:r w:rsidRPr="00B23258">
        <w:rPr>
          <w:rFonts w:ascii="Calibri" w:hAnsi="Calibri" w:cs="Arial"/>
          <w:color w:val="002060"/>
          <w:sz w:val="20"/>
          <w:szCs w:val="22"/>
        </w:rPr>
        <w:t xml:space="preserve">soit en valeur brute, </w:t>
      </w:r>
    </w:p>
    <w:p w14:paraId="0D1041F0" w14:textId="77777777" w:rsidR="008E47C6" w:rsidRPr="00B23258" w:rsidRDefault="00B23258" w:rsidP="00B23258">
      <w:pPr>
        <w:pStyle w:val="Paragraphedeliste"/>
        <w:numPr>
          <w:ilvl w:val="0"/>
          <w:numId w:val="4"/>
        </w:numPr>
        <w:spacing w:after="60"/>
        <w:ind w:left="340" w:hanging="170"/>
        <w:jc w:val="both"/>
        <w:rPr>
          <w:rFonts w:ascii="Calibri" w:hAnsi="Calibri" w:cs="Arial"/>
          <w:color w:val="002060"/>
          <w:sz w:val="20"/>
          <w:szCs w:val="22"/>
        </w:rPr>
      </w:pPr>
      <w:r w:rsidRPr="00B23258">
        <w:rPr>
          <w:rFonts w:ascii="Calibri" w:hAnsi="Calibri" w:cs="Arial"/>
          <w:color w:val="002060"/>
          <w:sz w:val="20"/>
          <w:szCs w:val="22"/>
        </w:rPr>
        <w:t>s</w:t>
      </w:r>
      <w:r w:rsidR="00B6355E" w:rsidRPr="00B23258">
        <w:rPr>
          <w:rFonts w:ascii="Calibri" w:hAnsi="Calibri" w:cs="Arial"/>
          <w:color w:val="002060"/>
          <w:sz w:val="20"/>
          <w:szCs w:val="22"/>
        </w:rPr>
        <w:t xml:space="preserve">oit en valeur nette, c'est-à-dire après déduction des amortissements et des provisions. Chaque option répond à une conception particulière. </w:t>
      </w:r>
    </w:p>
    <w:p w14:paraId="43BE56A6" w14:textId="77777777" w:rsidR="008E47C6" w:rsidRPr="007D06C2" w:rsidRDefault="00B23258" w:rsidP="00B23258">
      <w:pPr>
        <w:spacing w:after="60"/>
        <w:ind w:left="340" w:hanging="170"/>
        <w:jc w:val="both"/>
        <w:rPr>
          <w:rFonts w:ascii="Calibri" w:hAnsi="Calibri" w:cs="Arial"/>
          <w:color w:val="002060"/>
          <w:sz w:val="20"/>
          <w:szCs w:val="22"/>
        </w:rPr>
      </w:pPr>
      <w:r w:rsidRPr="00355993">
        <w:rPr>
          <w:rFonts w:ascii="Calibri" w:hAnsi="Calibri"/>
          <w:noProof/>
          <w:color w:val="002060"/>
          <w:sz w:val="20"/>
          <w:szCs w:val="20"/>
        </w:rPr>
        <w:drawing>
          <wp:inline distT="0" distB="0" distL="0" distR="0" wp14:anchorId="35CE2C4F" wp14:editId="41869097">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6355E" w:rsidRPr="007D06C2">
        <w:rPr>
          <w:rFonts w:ascii="Calibri" w:hAnsi="Calibri" w:cs="Arial"/>
          <w:color w:val="002060"/>
          <w:sz w:val="20"/>
          <w:szCs w:val="22"/>
        </w:rPr>
        <w:t xml:space="preserve">La valorisation en net des capitaux investis correspond à une approche patrimoniale fondée sur les valeurs actuelles. Faute de disposer directement d’une valeur de marché des actifs économiques, on l’estime à partir des valeurs nettes comptables éventuellement corrigés de l’inflation. </w:t>
      </w:r>
    </w:p>
    <w:p w14:paraId="780EFC90" w14:textId="77777777" w:rsidR="00B23258" w:rsidRDefault="00CC1EE9" w:rsidP="00B23258">
      <w:pPr>
        <w:spacing w:after="60"/>
        <w:ind w:left="340" w:hanging="170"/>
        <w:jc w:val="both"/>
        <w:rPr>
          <w:rFonts w:ascii="Calibri" w:hAnsi="Calibri" w:cs="Arial"/>
          <w:color w:val="002060"/>
          <w:sz w:val="20"/>
          <w:szCs w:val="22"/>
        </w:rPr>
      </w:pPr>
      <w:r>
        <w:pict w14:anchorId="6265CC0B">
          <v:shape id="_x0000_i1026" type="#_x0000_t75" alt="triangle" style="width:9pt;height:7.8pt;visibility:visible;mso-wrap-style:square">
            <v:imagedata r:id="rId7" o:title="triangle"/>
          </v:shape>
        </w:pict>
      </w:r>
      <w:r w:rsidR="00B6355E" w:rsidRPr="007D06C2">
        <w:rPr>
          <w:rFonts w:ascii="Calibri" w:hAnsi="Calibri" w:cs="Arial"/>
          <w:color w:val="002060"/>
          <w:sz w:val="20"/>
          <w:szCs w:val="22"/>
        </w:rPr>
        <w:t xml:space="preserve">La valorisation en brute des capitaux investis relève d’une approche qui cherche à apprécier la rentabilité, la productivité ou le rendement selon les partisans de la première conception, à partir du montant d’origine des ressources engagées dans les actifs économiques, éventuellement corrigé de l’inflation. Cette conception est celle adoptée par la Centrale des bilans de la Banque de France. </w:t>
      </w:r>
    </w:p>
    <w:p w14:paraId="71FC0D7B" w14:textId="77777777" w:rsidR="00B34ECB" w:rsidRPr="007D06C2" w:rsidRDefault="00B6355E" w:rsidP="00B23258">
      <w:pPr>
        <w:spacing w:after="120"/>
        <w:ind w:left="340"/>
        <w:jc w:val="both"/>
        <w:rPr>
          <w:rFonts w:ascii="Calibri" w:hAnsi="Calibri" w:cs="Arial"/>
          <w:color w:val="002060"/>
          <w:sz w:val="20"/>
          <w:szCs w:val="22"/>
        </w:rPr>
      </w:pPr>
      <w:r w:rsidRPr="007D06C2">
        <w:rPr>
          <w:rFonts w:ascii="Calibri" w:hAnsi="Calibri" w:cs="Arial"/>
          <w:color w:val="002060"/>
          <w:sz w:val="20"/>
          <w:szCs w:val="22"/>
        </w:rPr>
        <w:lastRenderedPageBreak/>
        <w:t>Discutable pour le calcul des taux de rentabilité instantanés, elle apparaît néanmoins pertinente pour cal</w:t>
      </w:r>
      <w:r w:rsidR="00092D91" w:rsidRPr="007D06C2">
        <w:rPr>
          <w:rFonts w:ascii="Calibri" w:hAnsi="Calibri" w:cs="Arial"/>
          <w:color w:val="002060"/>
          <w:sz w:val="20"/>
          <w:szCs w:val="22"/>
        </w:rPr>
        <w:t>culer la rentabilité de façon actuarielle à partir d’une chronique de flux de trésorerie sécrétés par les capitaux investis dans l’exploitation (ETE).</w:t>
      </w:r>
    </w:p>
    <w:p w14:paraId="6D9E1A8C" w14:textId="77777777" w:rsidR="00B23258" w:rsidRDefault="00092D91" w:rsidP="00B23258">
      <w:pPr>
        <w:spacing w:after="60"/>
        <w:ind w:left="340"/>
        <w:jc w:val="both"/>
        <w:rPr>
          <w:rFonts w:ascii="Calibri" w:hAnsi="Calibri" w:cs="Arial"/>
          <w:color w:val="002060"/>
          <w:sz w:val="20"/>
          <w:szCs w:val="22"/>
        </w:rPr>
      </w:pPr>
      <w:r w:rsidRPr="007D06C2">
        <w:rPr>
          <w:rFonts w:ascii="Calibri" w:hAnsi="Calibri" w:cs="Arial"/>
          <w:color w:val="002060"/>
          <w:sz w:val="20"/>
          <w:szCs w:val="22"/>
        </w:rPr>
        <w:t xml:space="preserve">Le taux de rentabilité économique brute constitue une première mesure de l’efficience de l’entreprise dans l’utilisation de ses ressources. Il doit être d’autant plus important que l’entreprise appartient à un secteur capitalistique. </w:t>
      </w:r>
    </w:p>
    <w:p w14:paraId="656D583B" w14:textId="77777777" w:rsidR="00092D91" w:rsidRPr="007D06C2" w:rsidRDefault="00092D91" w:rsidP="00DB3A2E">
      <w:pPr>
        <w:spacing w:after="120"/>
        <w:ind w:left="340"/>
        <w:jc w:val="both"/>
        <w:rPr>
          <w:rFonts w:ascii="Calibri" w:hAnsi="Calibri" w:cs="Arial"/>
          <w:color w:val="002060"/>
          <w:sz w:val="20"/>
          <w:szCs w:val="22"/>
        </w:rPr>
      </w:pPr>
      <w:r w:rsidRPr="007D06C2">
        <w:rPr>
          <w:rFonts w:ascii="Calibri" w:hAnsi="Calibri" w:cs="Arial"/>
          <w:color w:val="002060"/>
          <w:sz w:val="20"/>
          <w:szCs w:val="22"/>
        </w:rPr>
        <w:t>En effet, plus le coefficient de capital fixe (Immobilisations d’exploitation/CA ou VA) est élevé, plus l’entreprise doit supporter des renouvellements d’équipements importants (ou sur le plan comptable des charges d’amortissements). Comme le montre la relation suivante, EBE/CI = (EBE/CA) X (CA/CI), le taux de rentabilité économique brute dépend tout à la fois du taux de profitabilité brute et du taux de rotation des capitaux investis (CA</w:t>
      </w:r>
      <w:r w:rsidR="00BC4AFA" w:rsidRPr="007D06C2">
        <w:rPr>
          <w:rFonts w:ascii="Calibri" w:hAnsi="Calibri" w:cs="Arial"/>
          <w:color w:val="002060"/>
          <w:sz w:val="20"/>
          <w:szCs w:val="22"/>
        </w:rPr>
        <w:t>/</w:t>
      </w:r>
      <w:r w:rsidRPr="007D06C2">
        <w:rPr>
          <w:rFonts w:ascii="Calibri" w:hAnsi="Calibri" w:cs="Arial"/>
          <w:color w:val="002060"/>
          <w:sz w:val="20"/>
          <w:szCs w:val="22"/>
        </w:rPr>
        <w:t>CI) autrement dit, de la capacité de l’entreprise à sécréter un volume d’affaires à partir des ressources engagées dans l’exploitation.</w:t>
      </w:r>
    </w:p>
    <w:p w14:paraId="2EDEB483" w14:textId="77777777" w:rsidR="00654CF8" w:rsidRDefault="00092D91" w:rsidP="00654CF8">
      <w:pPr>
        <w:pStyle w:val="Paragraphedeliste"/>
        <w:numPr>
          <w:ilvl w:val="0"/>
          <w:numId w:val="4"/>
        </w:numPr>
        <w:spacing w:after="60"/>
        <w:ind w:left="170" w:hanging="170"/>
        <w:contextualSpacing w:val="0"/>
        <w:jc w:val="both"/>
        <w:rPr>
          <w:rFonts w:ascii="Calibri" w:hAnsi="Calibri" w:cs="Arial"/>
          <w:color w:val="002060"/>
          <w:sz w:val="20"/>
          <w:szCs w:val="22"/>
        </w:rPr>
      </w:pPr>
      <w:r w:rsidRPr="00B23258">
        <w:rPr>
          <w:rFonts w:ascii="Calibri" w:hAnsi="Calibri" w:cs="Arial"/>
          <w:b/>
          <w:color w:val="002060"/>
          <w:sz w:val="20"/>
          <w:szCs w:val="22"/>
        </w:rPr>
        <w:t>La rentabilité économique nette</w:t>
      </w:r>
      <w:r w:rsidRPr="00B23258">
        <w:rPr>
          <w:rFonts w:ascii="Calibri" w:hAnsi="Calibri" w:cs="Arial"/>
          <w:color w:val="002060"/>
          <w:sz w:val="20"/>
          <w:szCs w:val="22"/>
        </w:rPr>
        <w:t xml:space="preserve"> </w:t>
      </w:r>
    </w:p>
    <w:p w14:paraId="30BFE0B4" w14:textId="77777777" w:rsidR="00DB3A2E" w:rsidRDefault="00654CF8" w:rsidP="00654CF8">
      <w:pPr>
        <w:pStyle w:val="Paragraphedeliste"/>
        <w:spacing w:after="60"/>
        <w:ind w:left="170"/>
        <w:contextualSpacing w:val="0"/>
        <w:jc w:val="both"/>
        <w:rPr>
          <w:rFonts w:ascii="Calibri" w:hAnsi="Calibri" w:cs="Arial"/>
          <w:color w:val="002060"/>
          <w:sz w:val="20"/>
          <w:szCs w:val="22"/>
        </w:rPr>
      </w:pPr>
      <w:r>
        <w:rPr>
          <w:rFonts w:ascii="Calibri" w:hAnsi="Calibri" w:cs="Arial"/>
          <w:color w:val="002060"/>
          <w:sz w:val="20"/>
          <w:szCs w:val="22"/>
        </w:rPr>
        <w:t xml:space="preserve">Elle </w:t>
      </w:r>
      <w:r w:rsidR="00092D91" w:rsidRPr="00B23258">
        <w:rPr>
          <w:rFonts w:ascii="Calibri" w:hAnsi="Calibri" w:cs="Arial"/>
          <w:color w:val="002060"/>
          <w:sz w:val="20"/>
          <w:szCs w:val="22"/>
        </w:rPr>
        <w:t>est mesurée par le ratio Résultat d’exploitation/C</w:t>
      </w:r>
      <w:r w:rsidR="00B23258" w:rsidRPr="00B23258">
        <w:rPr>
          <w:rFonts w:ascii="Calibri" w:hAnsi="Calibri" w:cs="Arial"/>
          <w:color w:val="002060"/>
          <w:sz w:val="20"/>
          <w:szCs w:val="22"/>
        </w:rPr>
        <w:t>apitaux investis</w:t>
      </w:r>
      <w:r w:rsidR="00092D91" w:rsidRPr="00B23258">
        <w:rPr>
          <w:rFonts w:ascii="Calibri" w:hAnsi="Calibri" w:cs="Arial"/>
          <w:color w:val="002060"/>
          <w:sz w:val="20"/>
          <w:szCs w:val="22"/>
        </w:rPr>
        <w:t>. Comme nous l’avons déjà vu, l</w:t>
      </w:r>
      <w:r w:rsidR="008E47C6" w:rsidRPr="00B23258">
        <w:rPr>
          <w:rFonts w:ascii="Calibri" w:hAnsi="Calibri" w:cs="Arial"/>
          <w:color w:val="002060"/>
          <w:sz w:val="20"/>
          <w:szCs w:val="22"/>
        </w:rPr>
        <w:t>e</w:t>
      </w:r>
      <w:r w:rsidR="00092D91" w:rsidRPr="00B23258">
        <w:rPr>
          <w:rFonts w:ascii="Calibri" w:hAnsi="Calibri" w:cs="Arial"/>
          <w:color w:val="002060"/>
          <w:sz w:val="20"/>
          <w:szCs w:val="22"/>
        </w:rPr>
        <w:t xml:space="preserve"> résultat d’exploitation permet d’apprécier la performance de l’</w:t>
      </w:r>
      <w:r w:rsidR="00BC4AFA" w:rsidRPr="00B23258">
        <w:rPr>
          <w:rFonts w:ascii="Calibri" w:hAnsi="Calibri" w:cs="Arial"/>
          <w:color w:val="002060"/>
          <w:sz w:val="20"/>
          <w:szCs w:val="22"/>
        </w:rPr>
        <w:t>entreprise indépenda</w:t>
      </w:r>
      <w:r w:rsidR="00092D91" w:rsidRPr="00B23258">
        <w:rPr>
          <w:rFonts w:ascii="Calibri" w:hAnsi="Calibri" w:cs="Arial"/>
          <w:color w:val="002060"/>
          <w:sz w:val="20"/>
          <w:szCs w:val="22"/>
        </w:rPr>
        <w:t xml:space="preserve">mment de la part </w:t>
      </w:r>
      <w:r w:rsidR="00BC4AFA" w:rsidRPr="00B23258">
        <w:rPr>
          <w:rFonts w:ascii="Calibri" w:hAnsi="Calibri" w:cs="Arial"/>
          <w:color w:val="002060"/>
          <w:sz w:val="20"/>
          <w:szCs w:val="22"/>
        </w:rPr>
        <w:t xml:space="preserve">respective des facteurs de production mis en œuvre, le capital et travail, et du mode de financement. Elle dépend du taux de profitabilité économique nette et du taux de rotation des capitaux investis : RE/CI = (RE/CA) X (CA/CI). </w:t>
      </w:r>
    </w:p>
    <w:p w14:paraId="4C1C2E6F" w14:textId="77777777" w:rsidR="00092D91" w:rsidRPr="00B23258" w:rsidRDefault="00BC4AFA" w:rsidP="00DB3A2E">
      <w:pPr>
        <w:pStyle w:val="Paragraphedeliste"/>
        <w:spacing w:after="120"/>
        <w:ind w:left="170"/>
        <w:contextualSpacing w:val="0"/>
        <w:jc w:val="both"/>
        <w:rPr>
          <w:rFonts w:ascii="Calibri" w:hAnsi="Calibri" w:cs="Arial"/>
          <w:color w:val="002060"/>
          <w:sz w:val="20"/>
          <w:szCs w:val="22"/>
        </w:rPr>
      </w:pPr>
      <w:r w:rsidRPr="00B23258">
        <w:rPr>
          <w:rFonts w:ascii="Calibri" w:hAnsi="Calibri" w:cs="Arial"/>
          <w:color w:val="002060"/>
          <w:sz w:val="20"/>
          <w:szCs w:val="22"/>
        </w:rPr>
        <w:t>Un niveau élevé de rentabilité économique peut être obtenu soit à partir d’un taux de profitabilité élevé et d’une faible rotation des capitaux investis ou à l’inverse d’un taux de profitabilité faible et d’une rotation élevée des capitaux investis. La rentabilité économique exerce une influence significative sur la rentabilité des capitaux propres et au-delà conditionne les perspectives de croissance et la pérennité de l’entreprise.</w:t>
      </w:r>
    </w:p>
    <w:p w14:paraId="702E3861" w14:textId="77777777" w:rsidR="006011C4" w:rsidRPr="00CC1EE9" w:rsidRDefault="006011C4" w:rsidP="00CC1EE9">
      <w:pPr>
        <w:spacing w:after="60"/>
        <w:jc w:val="both"/>
        <w:rPr>
          <w:rFonts w:ascii="Calibri" w:hAnsi="Calibri" w:cs="Arial"/>
          <w:color w:val="002060"/>
          <w:sz w:val="22"/>
          <w:szCs w:val="20"/>
        </w:rPr>
      </w:pPr>
      <w:r w:rsidRPr="00CC1EE9">
        <w:rPr>
          <w:rFonts w:ascii="Calibri" w:hAnsi="Calibri" w:cs="Arial"/>
          <w:b/>
          <w:color w:val="002060"/>
          <w:sz w:val="22"/>
          <w:szCs w:val="20"/>
        </w:rPr>
        <w:t>La profitabilité et rentabilité financières</w:t>
      </w:r>
    </w:p>
    <w:p w14:paraId="3835DC32" w14:textId="77777777" w:rsidR="00262917" w:rsidRPr="007D06C2" w:rsidRDefault="006011C4" w:rsidP="003A5B34">
      <w:pPr>
        <w:spacing w:after="60"/>
        <w:jc w:val="both"/>
        <w:rPr>
          <w:rFonts w:ascii="Calibri" w:hAnsi="Calibri" w:cs="Arial"/>
          <w:color w:val="002060"/>
          <w:sz w:val="20"/>
          <w:szCs w:val="22"/>
        </w:rPr>
      </w:pPr>
      <w:r w:rsidRPr="007D06C2">
        <w:rPr>
          <w:rFonts w:ascii="Calibri" w:hAnsi="Calibri" w:cs="Arial"/>
          <w:color w:val="002060"/>
          <w:sz w:val="20"/>
          <w:szCs w:val="22"/>
        </w:rPr>
        <w:t xml:space="preserve">La profitabilité et la rentabilité financières expriment la performance de l’entreprise après prise en compte de sa politique financière et fiscale. Deux soldes de gestion peuvent être utilisés pour les mesurer : le résultat courant et le résultat net. </w:t>
      </w:r>
    </w:p>
    <w:p w14:paraId="054D46DB" w14:textId="77777777" w:rsidR="00262917" w:rsidRPr="006D07C2" w:rsidRDefault="006011C4" w:rsidP="006D07C2">
      <w:pPr>
        <w:pStyle w:val="Paragraphedeliste"/>
        <w:numPr>
          <w:ilvl w:val="0"/>
          <w:numId w:val="4"/>
        </w:numPr>
        <w:spacing w:after="60"/>
        <w:ind w:left="170" w:hanging="170"/>
        <w:jc w:val="both"/>
        <w:rPr>
          <w:rFonts w:ascii="Calibri" w:hAnsi="Calibri" w:cs="Arial"/>
          <w:color w:val="002060"/>
          <w:sz w:val="20"/>
          <w:szCs w:val="22"/>
        </w:rPr>
      </w:pPr>
      <w:r w:rsidRPr="006D07C2">
        <w:rPr>
          <w:rFonts w:ascii="Calibri" w:hAnsi="Calibri" w:cs="Arial"/>
          <w:color w:val="002060"/>
          <w:sz w:val="20"/>
          <w:szCs w:val="22"/>
        </w:rPr>
        <w:t xml:space="preserve">Rapportés au chiffre d’affaires, ils fournissent des taux de </w:t>
      </w:r>
      <w:r w:rsidRPr="006D07C2">
        <w:rPr>
          <w:rFonts w:ascii="Calibri" w:hAnsi="Calibri" w:cs="Arial"/>
          <w:b/>
          <w:i/>
          <w:color w:val="002060"/>
          <w:sz w:val="20"/>
          <w:szCs w:val="22"/>
        </w:rPr>
        <w:t>profitabilité financière</w:t>
      </w:r>
      <w:r w:rsidRPr="006D07C2">
        <w:rPr>
          <w:rFonts w:ascii="Calibri" w:hAnsi="Calibri" w:cs="Arial"/>
          <w:color w:val="002060"/>
          <w:sz w:val="20"/>
          <w:szCs w:val="22"/>
        </w:rPr>
        <w:t xml:space="preserve">. </w:t>
      </w:r>
    </w:p>
    <w:p w14:paraId="00A3E720" w14:textId="77777777" w:rsidR="00262917" w:rsidRPr="007D06C2" w:rsidRDefault="006D07C2" w:rsidP="006D07C2">
      <w:pPr>
        <w:shd w:val="clear" w:color="auto" w:fill="FFFFCC"/>
        <w:spacing w:after="60"/>
        <w:ind w:left="283" w:hanging="170"/>
        <w:jc w:val="both"/>
        <w:rPr>
          <w:rFonts w:ascii="Calibri" w:hAnsi="Calibri" w:cs="Arial"/>
          <w:color w:val="002060"/>
          <w:sz w:val="20"/>
          <w:szCs w:val="22"/>
        </w:rPr>
      </w:pPr>
      <w:r w:rsidRPr="00355993">
        <w:rPr>
          <w:rFonts w:ascii="Calibri" w:hAnsi="Calibri"/>
          <w:noProof/>
          <w:color w:val="002060"/>
          <w:sz w:val="20"/>
          <w:szCs w:val="20"/>
        </w:rPr>
        <w:drawing>
          <wp:inline distT="0" distB="0" distL="0" distR="0" wp14:anchorId="76519E01" wp14:editId="34278EAA">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011C4" w:rsidRPr="000A125C">
        <w:rPr>
          <w:rFonts w:ascii="Calibri" w:hAnsi="Calibri" w:cs="Arial"/>
          <w:color w:val="002060"/>
          <w:sz w:val="20"/>
          <w:szCs w:val="22"/>
        </w:rPr>
        <w:t xml:space="preserve">Le premier (Résultat courant/CA) donne une mesure de l’aptitude de l’entreprise à dégager un résultat récurrent à partir de son volume d’affaires compte tenu des choix de </w:t>
      </w:r>
      <w:r w:rsidR="00236826" w:rsidRPr="000A125C">
        <w:rPr>
          <w:rFonts w:ascii="Calibri" w:hAnsi="Calibri" w:cs="Arial"/>
          <w:color w:val="002060"/>
          <w:sz w:val="20"/>
          <w:szCs w:val="22"/>
        </w:rPr>
        <w:t>financements adoptés.</w:t>
      </w:r>
      <w:r w:rsidR="00236826" w:rsidRPr="007D06C2">
        <w:rPr>
          <w:rFonts w:ascii="Calibri" w:hAnsi="Calibri" w:cs="Arial"/>
          <w:color w:val="002060"/>
          <w:sz w:val="20"/>
          <w:szCs w:val="22"/>
        </w:rPr>
        <w:t xml:space="preserve"> </w:t>
      </w:r>
    </w:p>
    <w:p w14:paraId="2AE66681" w14:textId="77777777" w:rsidR="006011C4" w:rsidRPr="007D06C2" w:rsidRDefault="00CC1EE9" w:rsidP="006D07C2">
      <w:pPr>
        <w:spacing w:after="60"/>
        <w:ind w:left="283" w:hanging="170"/>
        <w:jc w:val="both"/>
        <w:rPr>
          <w:rFonts w:ascii="Calibri" w:hAnsi="Calibri" w:cs="Arial"/>
          <w:color w:val="002060"/>
          <w:sz w:val="20"/>
          <w:szCs w:val="22"/>
        </w:rPr>
      </w:pPr>
      <w:r>
        <w:pict w14:anchorId="6C98E4CD">
          <v:shape id="_x0000_i1027" type="#_x0000_t75" alt="triangle" style="width:9pt;height:7.8pt;visibility:visible;mso-wrap-style:square">
            <v:imagedata r:id="rId7" o:title="triangle"/>
          </v:shape>
        </w:pict>
      </w:r>
      <w:r w:rsidR="00236826" w:rsidRPr="007D06C2">
        <w:rPr>
          <w:rFonts w:ascii="Calibri" w:hAnsi="Calibri" w:cs="Arial"/>
          <w:color w:val="002060"/>
          <w:sz w:val="20"/>
          <w:szCs w:val="22"/>
        </w:rPr>
        <w:t xml:space="preserve">Le second (Résultat net/CA) tient compte de l’incidence des opérations exceptionnelles. </w:t>
      </w:r>
    </w:p>
    <w:p w14:paraId="3FF94F90" w14:textId="77777777" w:rsidR="00CC1EE9" w:rsidRDefault="00236826" w:rsidP="00CC1EE9">
      <w:pPr>
        <w:pStyle w:val="Paragraphedeliste"/>
        <w:numPr>
          <w:ilvl w:val="0"/>
          <w:numId w:val="4"/>
        </w:numPr>
        <w:spacing w:before="120"/>
        <w:ind w:left="170" w:hanging="170"/>
        <w:contextualSpacing w:val="0"/>
        <w:jc w:val="both"/>
        <w:rPr>
          <w:rFonts w:ascii="Calibri" w:hAnsi="Calibri" w:cs="Arial"/>
          <w:color w:val="002060"/>
          <w:sz w:val="20"/>
          <w:szCs w:val="22"/>
        </w:rPr>
      </w:pPr>
      <w:r w:rsidRPr="006D07C2">
        <w:rPr>
          <w:rFonts w:ascii="Calibri" w:hAnsi="Calibri" w:cs="Arial"/>
          <w:color w:val="002060"/>
          <w:sz w:val="20"/>
          <w:szCs w:val="22"/>
        </w:rPr>
        <w:t xml:space="preserve">Le taux de </w:t>
      </w:r>
      <w:r w:rsidRPr="006D07C2">
        <w:rPr>
          <w:rFonts w:ascii="Calibri" w:hAnsi="Calibri" w:cs="Arial"/>
          <w:b/>
          <w:i/>
          <w:color w:val="002060"/>
          <w:sz w:val="20"/>
          <w:szCs w:val="22"/>
        </w:rPr>
        <w:t>rentabilité financière</w:t>
      </w:r>
      <w:r w:rsidRPr="006D07C2">
        <w:rPr>
          <w:rFonts w:ascii="Calibri" w:hAnsi="Calibri" w:cs="Arial"/>
          <w:color w:val="002060"/>
          <w:sz w:val="20"/>
          <w:szCs w:val="22"/>
        </w:rPr>
        <w:t xml:space="preserve"> (Résultat courant/Capitaux propres ou Résultat net/Capitaux propres) </w:t>
      </w:r>
    </w:p>
    <w:p w14:paraId="4C06BF31" w14:textId="386799CA" w:rsidR="00CC1EE9" w:rsidRPr="00CC1EE9" w:rsidRDefault="00CC1EE9" w:rsidP="00CC1EE9">
      <w:pPr>
        <w:pStyle w:val="Paragraphedeliste"/>
        <w:shd w:val="clear" w:color="auto" w:fill="FFFFCC"/>
        <w:ind w:left="170"/>
        <w:contextualSpacing w:val="0"/>
        <w:jc w:val="both"/>
        <w:rPr>
          <w:rFonts w:ascii="Calibri" w:hAnsi="Calibri" w:cs="Arial"/>
          <w:color w:val="002060"/>
          <w:sz w:val="20"/>
          <w:szCs w:val="22"/>
        </w:rPr>
      </w:pPr>
      <w:r w:rsidRPr="00CC1EE9">
        <w:rPr>
          <w:rFonts w:ascii="Calibri" w:hAnsi="Calibri" w:cs="Arial"/>
          <w:color w:val="002060"/>
          <w:sz w:val="20"/>
          <w:szCs w:val="22"/>
          <w:shd w:val="clear" w:color="auto" w:fill="FFFFCC"/>
        </w:rPr>
        <w:t xml:space="preserve">Ce ratio </w:t>
      </w:r>
      <w:r w:rsidR="00236826" w:rsidRPr="00CC1EE9">
        <w:rPr>
          <w:rFonts w:ascii="Calibri" w:hAnsi="Calibri" w:cs="Arial"/>
          <w:color w:val="002060"/>
          <w:sz w:val="20"/>
          <w:szCs w:val="22"/>
          <w:shd w:val="clear" w:color="auto" w:fill="FFFFCC"/>
        </w:rPr>
        <w:t>permet</w:t>
      </w:r>
      <w:r w:rsidR="00236826" w:rsidRPr="006D07C2">
        <w:rPr>
          <w:rFonts w:ascii="Calibri" w:hAnsi="Calibri" w:cs="Arial"/>
          <w:color w:val="002060"/>
          <w:sz w:val="20"/>
          <w:szCs w:val="22"/>
          <w:shd w:val="clear" w:color="auto" w:fill="FFFFCC"/>
        </w:rPr>
        <w:t xml:space="preserve"> d’apprécier l’efficience de l’entreprise dans l’utilisation des ressources apportées par les actionnaires</w:t>
      </w:r>
      <w:r w:rsidR="00236826" w:rsidRPr="006D07C2">
        <w:rPr>
          <w:rFonts w:ascii="Calibri" w:hAnsi="Calibri" w:cs="Arial"/>
          <w:color w:val="002060"/>
          <w:sz w:val="20"/>
          <w:szCs w:val="22"/>
        </w:rPr>
        <w:t xml:space="preserve">. </w:t>
      </w:r>
      <w:r w:rsidR="00236826" w:rsidRPr="00CC1EE9">
        <w:rPr>
          <w:rFonts w:ascii="Calibri" w:hAnsi="Calibri" w:cs="Arial"/>
          <w:color w:val="002060"/>
          <w:sz w:val="20"/>
          <w:szCs w:val="22"/>
        </w:rPr>
        <w:t xml:space="preserve">La rentabilité des capitaux propres (CP) dépend de la rentabilité économique nette de l’entreprise, du coût du financement par capitaux empruntés et du taux d’endettement. </w:t>
      </w:r>
    </w:p>
    <w:p w14:paraId="63F73F53" w14:textId="64A93FF0" w:rsidR="007D06C2" w:rsidRPr="006D07C2" w:rsidRDefault="00236826" w:rsidP="00CC1EE9">
      <w:pPr>
        <w:pStyle w:val="Paragraphedeliste"/>
        <w:spacing w:after="120"/>
        <w:ind w:left="170"/>
        <w:contextualSpacing w:val="0"/>
        <w:jc w:val="both"/>
        <w:rPr>
          <w:rFonts w:ascii="Calibri" w:hAnsi="Calibri" w:cs="Arial"/>
          <w:color w:val="002060"/>
          <w:sz w:val="20"/>
          <w:szCs w:val="22"/>
        </w:rPr>
      </w:pPr>
      <w:r w:rsidRPr="006D07C2">
        <w:rPr>
          <w:rFonts w:ascii="Calibri" w:hAnsi="Calibri" w:cs="Arial"/>
          <w:color w:val="002060"/>
          <w:sz w:val="20"/>
          <w:szCs w:val="22"/>
        </w:rPr>
        <w:t xml:space="preserve">Les effets conjugués de ces éléments peuvent être appréhendés par l’analyse de l’effet de levier d’endettement. Cette dernière permet de savoir </w:t>
      </w:r>
      <w:r w:rsidR="00891683" w:rsidRPr="006D07C2">
        <w:rPr>
          <w:rFonts w:ascii="Calibri" w:hAnsi="Calibri" w:cs="Arial"/>
          <w:color w:val="002060"/>
          <w:sz w:val="20"/>
          <w:szCs w:val="22"/>
        </w:rPr>
        <w:t>si le financement par endettement a favorisé une amélioration de la rentabilité des capitaux propres de l’entreprise. Cette dernière est égale au taux de rentabilité économique augmenté du levier d’endettement mesuré par l’écart entre la rentabilité économique et le coût de la dette, multiplié par le taux d’endettement.</w:t>
      </w:r>
    </w:p>
    <w:p w14:paraId="1F453E0A" w14:textId="77777777" w:rsidR="00236826" w:rsidRPr="006D07C2" w:rsidRDefault="00891683" w:rsidP="006D07C2">
      <w:pPr>
        <w:pStyle w:val="Paragraphedeliste"/>
        <w:numPr>
          <w:ilvl w:val="0"/>
          <w:numId w:val="4"/>
        </w:numPr>
        <w:spacing w:before="120"/>
        <w:ind w:left="170" w:hanging="170"/>
        <w:jc w:val="both"/>
        <w:rPr>
          <w:rFonts w:ascii="Calibri" w:hAnsi="Calibri" w:cs="Arial"/>
          <w:color w:val="002060"/>
          <w:sz w:val="20"/>
          <w:szCs w:val="22"/>
        </w:rPr>
      </w:pPr>
      <w:r w:rsidRPr="006D07C2">
        <w:rPr>
          <w:rFonts w:ascii="Calibri" w:hAnsi="Calibri" w:cs="Arial"/>
          <w:color w:val="002060"/>
          <w:sz w:val="20"/>
          <w:szCs w:val="22"/>
        </w:rPr>
        <w:t>La formulation de l’effet de levier relie ainsi rentabilité économique et rentabilité financière et s’exprime comme suit :</w:t>
      </w:r>
    </w:p>
    <w:p w14:paraId="3E69D090" w14:textId="77777777" w:rsidR="00891683" w:rsidRPr="007D06C2" w:rsidRDefault="00891683" w:rsidP="006D07C2">
      <w:pPr>
        <w:spacing w:after="60"/>
        <w:ind w:firstLine="170"/>
        <w:jc w:val="both"/>
        <w:rPr>
          <w:rFonts w:ascii="Calibri" w:hAnsi="Calibri" w:cs="Arial"/>
          <w:color w:val="002060"/>
          <w:sz w:val="20"/>
          <w:szCs w:val="22"/>
        </w:rPr>
      </w:pPr>
      <w:r w:rsidRPr="007D06C2">
        <w:rPr>
          <w:rFonts w:ascii="Calibri" w:hAnsi="Calibri" w:cs="Arial"/>
          <w:color w:val="002060"/>
          <w:sz w:val="20"/>
          <w:szCs w:val="22"/>
        </w:rPr>
        <w:t>RF= RE + (RE-i) D/C. si l’on raisonne après impôt, la formule devient :</w:t>
      </w:r>
      <w:r w:rsidR="00607BAD">
        <w:rPr>
          <w:rFonts w:ascii="Calibri" w:hAnsi="Calibri" w:cs="Arial"/>
          <w:color w:val="002060"/>
          <w:sz w:val="20"/>
          <w:szCs w:val="22"/>
        </w:rPr>
        <w:t xml:space="preserve"> </w:t>
      </w:r>
      <w:r w:rsidRPr="007D06C2">
        <w:rPr>
          <w:rFonts w:ascii="Calibri" w:hAnsi="Calibri" w:cs="Arial"/>
          <w:color w:val="002060"/>
          <w:sz w:val="20"/>
          <w:szCs w:val="22"/>
        </w:rPr>
        <w:t>RF= [RE + (RE-i) D/C] (1-T)</w:t>
      </w:r>
    </w:p>
    <w:p w14:paraId="7C72F05D" w14:textId="77777777" w:rsidR="00891683" w:rsidRPr="007D06C2" w:rsidRDefault="00891683" w:rsidP="006D07C2">
      <w:pPr>
        <w:spacing w:after="60"/>
        <w:ind w:firstLine="170"/>
        <w:jc w:val="both"/>
        <w:rPr>
          <w:rFonts w:ascii="Calibri" w:hAnsi="Calibri" w:cs="Arial"/>
          <w:color w:val="002060"/>
          <w:sz w:val="20"/>
          <w:szCs w:val="22"/>
        </w:rPr>
      </w:pPr>
      <w:r w:rsidRPr="007D06C2">
        <w:rPr>
          <w:rFonts w:ascii="Calibri" w:hAnsi="Calibri" w:cs="Arial"/>
          <w:color w:val="002060"/>
          <w:sz w:val="20"/>
          <w:szCs w:val="22"/>
        </w:rPr>
        <w:t>Avec :</w:t>
      </w:r>
    </w:p>
    <w:p w14:paraId="607C07A2" w14:textId="77777777" w:rsidR="00891683" w:rsidRPr="007D06C2" w:rsidRDefault="00891683" w:rsidP="006D07C2">
      <w:pPr>
        <w:spacing w:after="60"/>
        <w:ind w:firstLine="170"/>
        <w:jc w:val="both"/>
        <w:rPr>
          <w:rFonts w:ascii="Calibri" w:hAnsi="Calibri" w:cs="Arial"/>
          <w:color w:val="002060"/>
          <w:sz w:val="20"/>
          <w:szCs w:val="22"/>
        </w:rPr>
      </w:pPr>
      <w:r w:rsidRPr="007D06C2">
        <w:rPr>
          <w:rFonts w:ascii="Calibri" w:hAnsi="Calibri" w:cs="Arial"/>
          <w:b/>
          <w:color w:val="002060"/>
          <w:sz w:val="20"/>
          <w:szCs w:val="22"/>
        </w:rPr>
        <w:t>RF</w:t>
      </w:r>
      <w:r w:rsidRPr="007D06C2">
        <w:rPr>
          <w:rFonts w:ascii="Calibri" w:hAnsi="Calibri" w:cs="Arial"/>
          <w:color w:val="002060"/>
          <w:sz w:val="20"/>
          <w:szCs w:val="22"/>
        </w:rPr>
        <w:t> : rentabilité financière des capitaux propres</w:t>
      </w:r>
      <w:r w:rsidR="005F3309" w:rsidRPr="007D06C2">
        <w:rPr>
          <w:rFonts w:ascii="Calibri" w:hAnsi="Calibri" w:cs="Arial"/>
          <w:color w:val="002060"/>
          <w:sz w:val="20"/>
          <w:szCs w:val="22"/>
        </w:rPr>
        <w:t xml:space="preserve">. Return on equity </w:t>
      </w:r>
      <w:r w:rsidR="005F3309" w:rsidRPr="007D06C2">
        <w:rPr>
          <w:rFonts w:ascii="Calibri" w:hAnsi="Calibri" w:cs="Arial"/>
          <w:b/>
          <w:color w:val="002060"/>
          <w:sz w:val="20"/>
          <w:szCs w:val="22"/>
        </w:rPr>
        <w:t>(ROE)</w:t>
      </w:r>
    </w:p>
    <w:p w14:paraId="113DC8C4" w14:textId="77777777" w:rsidR="005F3309" w:rsidRPr="007D06C2" w:rsidRDefault="005F3309" w:rsidP="006D07C2">
      <w:pPr>
        <w:spacing w:after="60"/>
        <w:ind w:left="170"/>
        <w:jc w:val="both"/>
        <w:rPr>
          <w:rFonts w:ascii="Calibri" w:hAnsi="Calibri" w:cs="Arial"/>
          <w:color w:val="002060"/>
          <w:sz w:val="20"/>
          <w:szCs w:val="22"/>
        </w:rPr>
      </w:pPr>
      <w:r w:rsidRPr="007D06C2">
        <w:rPr>
          <w:rFonts w:ascii="Calibri" w:hAnsi="Calibri" w:cs="Arial"/>
          <w:b/>
          <w:color w:val="002060"/>
          <w:sz w:val="20"/>
          <w:szCs w:val="22"/>
        </w:rPr>
        <w:t>RE</w:t>
      </w:r>
      <w:r w:rsidRPr="007D06C2">
        <w:rPr>
          <w:rFonts w:ascii="Calibri" w:hAnsi="Calibri" w:cs="Arial"/>
          <w:color w:val="002060"/>
          <w:sz w:val="20"/>
          <w:szCs w:val="22"/>
        </w:rPr>
        <w:t xml:space="preserve"> : rentabilité économique nette des capitaux investis. Ces derniers correspondent également à la somme des capitaux propres et des dettes financières. Return on Capital Employed </w:t>
      </w:r>
      <w:r w:rsidRPr="007D06C2">
        <w:rPr>
          <w:rFonts w:ascii="Calibri" w:hAnsi="Calibri" w:cs="Arial"/>
          <w:b/>
          <w:color w:val="002060"/>
          <w:sz w:val="20"/>
          <w:szCs w:val="22"/>
        </w:rPr>
        <w:t>(ROCE)</w:t>
      </w:r>
    </w:p>
    <w:p w14:paraId="0A4BC4CC" w14:textId="77777777" w:rsidR="005F3309" w:rsidRPr="007D06C2" w:rsidRDefault="005F3309" w:rsidP="006D07C2">
      <w:pPr>
        <w:spacing w:after="60"/>
        <w:ind w:firstLine="170"/>
        <w:jc w:val="both"/>
        <w:rPr>
          <w:rFonts w:ascii="Calibri" w:hAnsi="Calibri" w:cs="Arial"/>
          <w:color w:val="002060"/>
          <w:sz w:val="20"/>
          <w:szCs w:val="22"/>
        </w:rPr>
      </w:pPr>
      <w:proofErr w:type="gramStart"/>
      <w:r w:rsidRPr="007D06C2">
        <w:rPr>
          <w:rFonts w:ascii="Calibri" w:hAnsi="Calibri" w:cs="Arial"/>
          <w:b/>
          <w:color w:val="002060"/>
          <w:sz w:val="20"/>
          <w:szCs w:val="22"/>
        </w:rPr>
        <w:t>i</w:t>
      </w:r>
      <w:proofErr w:type="gramEnd"/>
      <w:r w:rsidRPr="007D06C2">
        <w:rPr>
          <w:rFonts w:ascii="Calibri" w:hAnsi="Calibri" w:cs="Arial"/>
          <w:color w:val="002060"/>
          <w:sz w:val="20"/>
          <w:szCs w:val="22"/>
        </w:rPr>
        <w:t xml:space="preserve"> : taux d’intérêt de la dette</w:t>
      </w:r>
    </w:p>
    <w:p w14:paraId="17C9856D" w14:textId="77777777" w:rsidR="005F3309" w:rsidRPr="007D06C2" w:rsidRDefault="009C2011" w:rsidP="006D07C2">
      <w:pPr>
        <w:spacing w:after="60"/>
        <w:ind w:firstLine="170"/>
        <w:jc w:val="both"/>
        <w:rPr>
          <w:rFonts w:ascii="Calibri" w:hAnsi="Calibri" w:cs="Arial"/>
          <w:color w:val="002060"/>
          <w:sz w:val="20"/>
          <w:szCs w:val="22"/>
        </w:rPr>
      </w:pPr>
      <w:r w:rsidRPr="007D06C2">
        <w:rPr>
          <w:rFonts w:ascii="Calibri" w:hAnsi="Calibri" w:cs="Arial"/>
          <w:b/>
          <w:color w:val="002060"/>
          <w:sz w:val="20"/>
          <w:szCs w:val="22"/>
        </w:rPr>
        <w:t>D</w:t>
      </w:r>
      <w:r w:rsidRPr="007D06C2">
        <w:rPr>
          <w:rFonts w:ascii="Calibri" w:hAnsi="Calibri" w:cs="Arial"/>
          <w:color w:val="002060"/>
          <w:sz w:val="20"/>
          <w:szCs w:val="22"/>
        </w:rPr>
        <w:t> : dettes financières</w:t>
      </w:r>
    </w:p>
    <w:p w14:paraId="29106CBB" w14:textId="77777777" w:rsidR="009C2011" w:rsidRPr="007D06C2" w:rsidRDefault="009C2011" w:rsidP="006D07C2">
      <w:pPr>
        <w:spacing w:after="60"/>
        <w:ind w:firstLine="170"/>
        <w:jc w:val="both"/>
        <w:rPr>
          <w:rFonts w:ascii="Calibri" w:hAnsi="Calibri" w:cs="Arial"/>
          <w:color w:val="002060"/>
          <w:sz w:val="20"/>
          <w:szCs w:val="22"/>
        </w:rPr>
      </w:pPr>
      <w:r w:rsidRPr="007D06C2">
        <w:rPr>
          <w:rFonts w:ascii="Calibri" w:hAnsi="Calibri" w:cs="Arial"/>
          <w:b/>
          <w:color w:val="002060"/>
          <w:sz w:val="20"/>
          <w:szCs w:val="22"/>
        </w:rPr>
        <w:t>C</w:t>
      </w:r>
      <w:r w:rsidRPr="007D06C2">
        <w:rPr>
          <w:rFonts w:ascii="Calibri" w:hAnsi="Calibri" w:cs="Arial"/>
          <w:color w:val="002060"/>
          <w:sz w:val="20"/>
          <w:szCs w:val="22"/>
        </w:rPr>
        <w:t> : capitaux propres</w:t>
      </w:r>
    </w:p>
    <w:p w14:paraId="76281C5E" w14:textId="77777777" w:rsidR="009C2011" w:rsidRPr="007D06C2" w:rsidRDefault="009C2011" w:rsidP="006D07C2">
      <w:pPr>
        <w:spacing w:after="120"/>
        <w:ind w:firstLine="170"/>
        <w:jc w:val="both"/>
        <w:rPr>
          <w:rFonts w:ascii="Calibri" w:hAnsi="Calibri" w:cs="Arial"/>
          <w:color w:val="002060"/>
          <w:sz w:val="20"/>
          <w:szCs w:val="22"/>
        </w:rPr>
      </w:pPr>
      <w:r w:rsidRPr="007D06C2">
        <w:rPr>
          <w:rFonts w:ascii="Calibri" w:hAnsi="Calibri" w:cs="Arial"/>
          <w:b/>
          <w:color w:val="002060"/>
          <w:sz w:val="20"/>
          <w:szCs w:val="22"/>
        </w:rPr>
        <w:t>T</w:t>
      </w:r>
      <w:r w:rsidRPr="007D06C2">
        <w:rPr>
          <w:rFonts w:ascii="Calibri" w:hAnsi="Calibri" w:cs="Arial"/>
          <w:color w:val="002060"/>
          <w:sz w:val="20"/>
          <w:szCs w:val="22"/>
        </w:rPr>
        <w:t> : taux d’imposition.</w:t>
      </w:r>
    </w:p>
    <w:p w14:paraId="7BD54B90" w14:textId="77777777" w:rsidR="00607BAD" w:rsidRDefault="009C2011" w:rsidP="00CC1EE9">
      <w:pPr>
        <w:shd w:val="clear" w:color="auto" w:fill="FFFFCC"/>
        <w:spacing w:after="60"/>
        <w:jc w:val="both"/>
        <w:rPr>
          <w:rFonts w:ascii="Calibri" w:hAnsi="Calibri" w:cs="Arial"/>
          <w:color w:val="002060"/>
          <w:sz w:val="20"/>
          <w:szCs w:val="22"/>
        </w:rPr>
      </w:pPr>
      <w:r w:rsidRPr="000A125C">
        <w:rPr>
          <w:rFonts w:ascii="Calibri" w:hAnsi="Calibri" w:cs="Arial"/>
          <w:color w:val="002060"/>
          <w:sz w:val="20"/>
          <w:szCs w:val="22"/>
          <w:shd w:val="clear" w:color="auto" w:fill="FFFFCC"/>
        </w:rPr>
        <w:t>Comme le montre la formule, la position de l’entreprise vis-à-vis de l’endettement, et donc du choix de sa structure</w:t>
      </w:r>
      <w:r w:rsidR="000E1C2C" w:rsidRPr="000A125C">
        <w:rPr>
          <w:rFonts w:ascii="Calibri" w:hAnsi="Calibri" w:cs="Arial"/>
          <w:color w:val="002060"/>
          <w:sz w:val="20"/>
          <w:szCs w:val="22"/>
          <w:shd w:val="clear" w:color="auto" w:fill="FFFFCC"/>
        </w:rPr>
        <w:t xml:space="preserve"> financière, dépendra de la rentabilité économique des capitaux investis</w:t>
      </w:r>
      <w:r w:rsidR="000E1C2C" w:rsidRPr="007D06C2">
        <w:rPr>
          <w:rFonts w:ascii="Calibri" w:hAnsi="Calibri" w:cs="Arial"/>
          <w:color w:val="002060"/>
          <w:sz w:val="20"/>
          <w:szCs w:val="22"/>
        </w:rPr>
        <w:t xml:space="preserve">. Selon que cette dernière est supérieure ou non au coût de financement des capitaux empruntés, l’entreprise </w:t>
      </w:r>
      <w:r w:rsidR="000E1C2C" w:rsidRPr="00CC1EE9">
        <w:rPr>
          <w:rFonts w:ascii="Calibri" w:hAnsi="Calibri" w:cs="Arial"/>
          <w:color w:val="0000CC"/>
          <w:sz w:val="20"/>
          <w:szCs w:val="22"/>
        </w:rPr>
        <w:t>améliorera</w:t>
      </w:r>
      <w:r w:rsidR="000E1C2C" w:rsidRPr="007D06C2">
        <w:rPr>
          <w:rFonts w:ascii="Calibri" w:hAnsi="Calibri" w:cs="Arial"/>
          <w:color w:val="002060"/>
          <w:sz w:val="20"/>
          <w:szCs w:val="22"/>
        </w:rPr>
        <w:t xml:space="preserve"> ou </w:t>
      </w:r>
      <w:r w:rsidR="000E1C2C" w:rsidRPr="00CC1EE9">
        <w:rPr>
          <w:rFonts w:ascii="Calibri" w:hAnsi="Calibri" w:cs="Arial"/>
          <w:color w:val="FF0000"/>
          <w:sz w:val="20"/>
          <w:szCs w:val="22"/>
        </w:rPr>
        <w:t>non</w:t>
      </w:r>
      <w:r w:rsidR="000E1C2C" w:rsidRPr="007D06C2">
        <w:rPr>
          <w:rFonts w:ascii="Calibri" w:hAnsi="Calibri" w:cs="Arial"/>
          <w:color w:val="002060"/>
          <w:sz w:val="20"/>
          <w:szCs w:val="22"/>
        </w:rPr>
        <w:t xml:space="preserve"> la rentabilité de ses capitaux propres grâce au levier d’endettement. L’effet de levier </w:t>
      </w:r>
      <w:r w:rsidR="000E1C2C" w:rsidRPr="00CC1EE9">
        <w:rPr>
          <w:rFonts w:ascii="Calibri" w:hAnsi="Calibri" w:cs="Arial"/>
          <w:color w:val="0000CC"/>
          <w:sz w:val="20"/>
          <w:szCs w:val="22"/>
        </w:rPr>
        <w:t>positif</w:t>
      </w:r>
      <w:r w:rsidR="000E1C2C" w:rsidRPr="007D06C2">
        <w:rPr>
          <w:rFonts w:ascii="Calibri" w:hAnsi="Calibri" w:cs="Arial"/>
          <w:color w:val="002060"/>
          <w:sz w:val="20"/>
          <w:szCs w:val="22"/>
        </w:rPr>
        <w:t xml:space="preserve"> ou </w:t>
      </w:r>
      <w:r w:rsidR="000E1C2C" w:rsidRPr="00CC1EE9">
        <w:rPr>
          <w:rFonts w:ascii="Calibri" w:hAnsi="Calibri" w:cs="Arial"/>
          <w:color w:val="FF0000"/>
          <w:sz w:val="20"/>
          <w:szCs w:val="22"/>
        </w:rPr>
        <w:t>négatif (effet dit de massue</w:t>
      </w:r>
      <w:r w:rsidR="000E1C2C" w:rsidRPr="007D06C2">
        <w:rPr>
          <w:rFonts w:ascii="Calibri" w:hAnsi="Calibri" w:cs="Arial"/>
          <w:color w:val="002060"/>
          <w:sz w:val="20"/>
          <w:szCs w:val="22"/>
        </w:rPr>
        <w:t xml:space="preserve">), mesuré avant impôt par (RE-i) D/C, résultant de la </w:t>
      </w:r>
      <w:r w:rsidR="00607BAD">
        <w:rPr>
          <w:rFonts w:ascii="Calibri" w:hAnsi="Calibri" w:cs="Arial"/>
          <w:color w:val="002060"/>
          <w:sz w:val="20"/>
          <w:szCs w:val="22"/>
        </w:rPr>
        <w:t>fixité de la charge financière.</w:t>
      </w:r>
    </w:p>
    <w:p w14:paraId="40C0D89C" w14:textId="77777777" w:rsidR="009C2011" w:rsidRPr="007D06C2" w:rsidRDefault="00DB3A2E" w:rsidP="003A5B34">
      <w:pPr>
        <w:spacing w:after="60"/>
        <w:jc w:val="both"/>
        <w:rPr>
          <w:rFonts w:ascii="Calibri" w:hAnsi="Calibri" w:cs="Arial"/>
          <w:color w:val="002060"/>
          <w:sz w:val="20"/>
          <w:szCs w:val="22"/>
        </w:rPr>
      </w:pPr>
      <w:r>
        <w:rPr>
          <w:rFonts w:ascii="Calibri" w:hAnsi="Calibri" w:cs="Arial"/>
          <w:color w:val="002060"/>
          <w:sz w:val="20"/>
          <w:szCs w:val="22"/>
        </w:rPr>
        <w:t>3</w:t>
      </w:r>
      <w:r w:rsidR="000E1C2C" w:rsidRPr="007D06C2">
        <w:rPr>
          <w:rFonts w:ascii="Calibri" w:hAnsi="Calibri" w:cs="Arial"/>
          <w:color w:val="002060"/>
          <w:sz w:val="20"/>
          <w:szCs w:val="22"/>
        </w:rPr>
        <w:t xml:space="preserve"> cas sont envisageables :</w:t>
      </w:r>
    </w:p>
    <w:p w14:paraId="4142B7E8" w14:textId="77777777" w:rsidR="000E1C2C" w:rsidRPr="007D06C2" w:rsidRDefault="00DB3A2E" w:rsidP="00DB3A2E">
      <w:pPr>
        <w:spacing w:after="60"/>
        <w:ind w:left="227" w:hanging="227"/>
        <w:jc w:val="both"/>
        <w:rPr>
          <w:rFonts w:ascii="Calibri" w:hAnsi="Calibri" w:cs="Arial"/>
          <w:color w:val="002060"/>
          <w:sz w:val="20"/>
          <w:szCs w:val="22"/>
        </w:rPr>
      </w:pPr>
      <w:r>
        <w:rPr>
          <w:rFonts w:ascii="Calibri" w:hAnsi="Calibri" w:cs="Arial"/>
          <w:b/>
          <w:color w:val="002060"/>
          <w:sz w:val="20"/>
          <w:szCs w:val="22"/>
        </w:rPr>
        <w:t xml:space="preserve">1. </w:t>
      </w:r>
      <w:r w:rsidR="000E1C2C" w:rsidRPr="007D06C2">
        <w:rPr>
          <w:rFonts w:ascii="Calibri" w:hAnsi="Calibri" w:cs="Arial"/>
          <w:b/>
          <w:color w:val="002060"/>
          <w:sz w:val="20"/>
          <w:szCs w:val="22"/>
        </w:rPr>
        <w:t xml:space="preserve">RE est </w:t>
      </w:r>
      <w:r w:rsidR="00262917" w:rsidRPr="007D06C2">
        <w:rPr>
          <w:rFonts w:ascii="Calibri" w:hAnsi="Calibri" w:cs="Arial"/>
          <w:b/>
          <w:color w:val="002060"/>
          <w:sz w:val="20"/>
          <w:szCs w:val="22"/>
        </w:rPr>
        <w:t>&gt;</w:t>
      </w:r>
      <w:r w:rsidR="000E1C2C" w:rsidRPr="007D06C2">
        <w:rPr>
          <w:rFonts w:ascii="Calibri" w:hAnsi="Calibri" w:cs="Arial"/>
          <w:b/>
          <w:color w:val="002060"/>
          <w:sz w:val="20"/>
          <w:szCs w:val="22"/>
        </w:rPr>
        <w:t xml:space="preserve"> à i</w:t>
      </w:r>
      <w:r w:rsidR="000E1C2C" w:rsidRPr="007D06C2">
        <w:rPr>
          <w:rFonts w:ascii="Calibri" w:hAnsi="Calibri" w:cs="Arial"/>
          <w:color w:val="002060"/>
          <w:sz w:val="20"/>
          <w:szCs w:val="22"/>
        </w:rPr>
        <w:t> : l’excédent de rentabilité économique bénéficie aux actionnaires ; la rentabilité des capitaux propres croît avec l’endettement. L’entreprise constate dans ce cas un effet de levier positif.</w:t>
      </w:r>
    </w:p>
    <w:p w14:paraId="379613F3" w14:textId="77777777" w:rsidR="000E1C2C" w:rsidRPr="007D06C2" w:rsidRDefault="00DB3A2E" w:rsidP="00DB3A2E">
      <w:pPr>
        <w:spacing w:after="60"/>
        <w:ind w:left="227" w:hanging="227"/>
        <w:jc w:val="both"/>
        <w:rPr>
          <w:rFonts w:ascii="Calibri" w:hAnsi="Calibri" w:cs="Arial"/>
          <w:color w:val="002060"/>
          <w:sz w:val="20"/>
          <w:szCs w:val="22"/>
        </w:rPr>
      </w:pPr>
      <w:r>
        <w:rPr>
          <w:rFonts w:ascii="Calibri" w:hAnsi="Calibri" w:cs="Arial"/>
          <w:b/>
          <w:color w:val="002060"/>
          <w:sz w:val="20"/>
          <w:szCs w:val="22"/>
        </w:rPr>
        <w:t>2.</w:t>
      </w:r>
      <w:r w:rsidR="007D06C2">
        <w:rPr>
          <w:rFonts w:ascii="Calibri" w:hAnsi="Calibri" w:cs="Arial"/>
          <w:b/>
          <w:color w:val="002060"/>
          <w:sz w:val="20"/>
          <w:szCs w:val="22"/>
        </w:rPr>
        <w:t xml:space="preserve"> </w:t>
      </w:r>
      <w:r w:rsidR="000E1C2C" w:rsidRPr="007D06C2">
        <w:rPr>
          <w:rFonts w:ascii="Calibri" w:hAnsi="Calibri" w:cs="Arial"/>
          <w:b/>
          <w:color w:val="002060"/>
          <w:sz w:val="20"/>
          <w:szCs w:val="22"/>
        </w:rPr>
        <w:t xml:space="preserve">RE est </w:t>
      </w:r>
      <w:r w:rsidR="00262917" w:rsidRPr="007D06C2">
        <w:rPr>
          <w:rFonts w:ascii="Calibri" w:hAnsi="Calibri" w:cs="Arial"/>
          <w:b/>
          <w:color w:val="002060"/>
          <w:sz w:val="20"/>
          <w:szCs w:val="22"/>
        </w:rPr>
        <w:t>=</w:t>
      </w:r>
      <w:r w:rsidR="000E1C2C" w:rsidRPr="007D06C2">
        <w:rPr>
          <w:rFonts w:ascii="Calibri" w:hAnsi="Calibri" w:cs="Arial"/>
          <w:b/>
          <w:color w:val="002060"/>
          <w:sz w:val="20"/>
          <w:szCs w:val="22"/>
        </w:rPr>
        <w:t xml:space="preserve"> à i</w:t>
      </w:r>
      <w:r w:rsidR="000E1C2C" w:rsidRPr="007D06C2">
        <w:rPr>
          <w:rFonts w:ascii="Calibri" w:hAnsi="Calibri" w:cs="Arial"/>
          <w:color w:val="002060"/>
          <w:sz w:val="20"/>
          <w:szCs w:val="22"/>
        </w:rPr>
        <w:t> : l’endettement n’a pas d’effet sur la rentabilité financière. Dans ce cas, il y a neutralité de la structure financière.</w:t>
      </w:r>
    </w:p>
    <w:p w14:paraId="138834DC" w14:textId="77777777" w:rsidR="003F321D" w:rsidRPr="003A5B34" w:rsidRDefault="00DB3A2E" w:rsidP="00DB3A2E">
      <w:pPr>
        <w:spacing w:after="120"/>
        <w:ind w:left="227" w:hanging="227"/>
        <w:jc w:val="both"/>
        <w:rPr>
          <w:rFonts w:ascii="Calibri" w:hAnsi="Calibri" w:cs="Arial"/>
          <w:color w:val="002060"/>
          <w:sz w:val="20"/>
          <w:szCs w:val="22"/>
        </w:rPr>
      </w:pPr>
      <w:r>
        <w:rPr>
          <w:rFonts w:ascii="Calibri" w:hAnsi="Calibri" w:cs="Arial"/>
          <w:b/>
          <w:color w:val="002060"/>
          <w:sz w:val="20"/>
          <w:szCs w:val="22"/>
        </w:rPr>
        <w:lastRenderedPageBreak/>
        <w:t>3.</w:t>
      </w:r>
      <w:r w:rsidR="007D06C2">
        <w:rPr>
          <w:rFonts w:ascii="Calibri" w:hAnsi="Calibri" w:cs="Arial"/>
          <w:b/>
          <w:color w:val="002060"/>
          <w:sz w:val="20"/>
          <w:szCs w:val="22"/>
        </w:rPr>
        <w:t xml:space="preserve"> </w:t>
      </w:r>
      <w:r w:rsidR="000E1C2C" w:rsidRPr="007D06C2">
        <w:rPr>
          <w:rFonts w:ascii="Calibri" w:hAnsi="Calibri" w:cs="Arial"/>
          <w:b/>
          <w:color w:val="002060"/>
          <w:sz w:val="20"/>
          <w:szCs w:val="22"/>
        </w:rPr>
        <w:t xml:space="preserve">RE est </w:t>
      </w:r>
      <w:r w:rsidR="00262917" w:rsidRPr="007D06C2">
        <w:rPr>
          <w:rFonts w:ascii="Calibri" w:hAnsi="Calibri" w:cs="Arial"/>
          <w:b/>
          <w:color w:val="002060"/>
          <w:sz w:val="20"/>
          <w:szCs w:val="22"/>
        </w:rPr>
        <w:t>&lt;</w:t>
      </w:r>
      <w:r w:rsidR="000E1C2C" w:rsidRPr="007D06C2">
        <w:rPr>
          <w:rFonts w:ascii="Calibri" w:hAnsi="Calibri" w:cs="Arial"/>
          <w:b/>
          <w:color w:val="002060"/>
          <w:sz w:val="20"/>
          <w:szCs w:val="22"/>
        </w:rPr>
        <w:t xml:space="preserve"> à i</w:t>
      </w:r>
      <w:r w:rsidR="000E1C2C" w:rsidRPr="007D06C2">
        <w:rPr>
          <w:rFonts w:ascii="Calibri" w:hAnsi="Calibri" w:cs="Arial"/>
          <w:color w:val="002060"/>
          <w:sz w:val="20"/>
          <w:szCs w:val="22"/>
        </w:rPr>
        <w:t> : la rentabilité économique est insuffisante pour absorber</w:t>
      </w:r>
      <w:r w:rsidR="003F321D" w:rsidRPr="007D06C2">
        <w:rPr>
          <w:rFonts w:ascii="Calibri" w:hAnsi="Calibri" w:cs="Arial"/>
          <w:color w:val="002060"/>
          <w:sz w:val="20"/>
          <w:szCs w:val="22"/>
        </w:rPr>
        <w:t xml:space="preserve"> le coût des dettes ; le paiement des intérêts pénalise les actionnaires qui doivent consentir une diminution de leur rentabilité. L’effet de levier est négatif. Dans ce cas, plus l’entreprise est endettée, plus la rentabilité des capitaux propres diminue.</w:t>
      </w:r>
    </w:p>
    <w:p w14:paraId="6B609EC1" w14:textId="77777777" w:rsidR="003F321D" w:rsidRPr="007D06C2" w:rsidRDefault="003F321D" w:rsidP="00DB3A2E">
      <w:pPr>
        <w:spacing w:after="120"/>
        <w:jc w:val="both"/>
        <w:rPr>
          <w:rFonts w:ascii="Calibri" w:hAnsi="Calibri" w:cs="Arial"/>
          <w:color w:val="002060"/>
          <w:sz w:val="20"/>
          <w:szCs w:val="22"/>
        </w:rPr>
      </w:pPr>
      <w:r w:rsidRPr="007D06C2">
        <w:rPr>
          <w:rFonts w:ascii="Calibri" w:hAnsi="Calibri" w:cs="Arial"/>
          <w:color w:val="002060"/>
          <w:sz w:val="20"/>
          <w:szCs w:val="22"/>
        </w:rPr>
        <w:t>Un effet de levier positif n’est pas en soi suffisant.  Si une entreprise, dont le coefficient de capital demeure stable sur moyenne période, souhaite poursuivre un double objectif d’autofinancement de sa croissance et de maintien, voire d’amélioration de sa structure financière, l’écart entre la rentabilité économique et le coût des dettes financières devra être tel qu’il conduise à une rentabilité financière égale ou supérieure à la croissance.</w:t>
      </w:r>
    </w:p>
    <w:p w14:paraId="74B75336" w14:textId="77777777" w:rsidR="003F321D" w:rsidRPr="007D06C2" w:rsidRDefault="007A02CB" w:rsidP="003A5B34">
      <w:pPr>
        <w:spacing w:after="60"/>
        <w:jc w:val="both"/>
        <w:rPr>
          <w:rFonts w:ascii="Calibri" w:hAnsi="Calibri" w:cs="Arial"/>
          <w:color w:val="002060"/>
          <w:sz w:val="20"/>
          <w:szCs w:val="22"/>
        </w:rPr>
      </w:pPr>
      <w:r w:rsidRPr="007D06C2">
        <w:rPr>
          <w:rFonts w:ascii="Calibri" w:hAnsi="Calibri" w:cs="Arial"/>
          <w:color w:val="002060"/>
          <w:sz w:val="20"/>
          <w:szCs w:val="22"/>
        </w:rPr>
        <w:t>L’analyse de l’effet</w:t>
      </w:r>
      <w:r w:rsidR="0014069E" w:rsidRPr="007D06C2">
        <w:rPr>
          <w:rFonts w:ascii="Calibri" w:hAnsi="Calibri" w:cs="Arial"/>
          <w:color w:val="002060"/>
          <w:sz w:val="20"/>
          <w:szCs w:val="22"/>
        </w:rPr>
        <w:t xml:space="preserve"> de levier repose principalement sur une comparaison entre la rentabilité des capitaux investis et le coût de la dette financière. L’approche des performances par la création de valeur va plus loin en comparant la rentabilité des capitaux avec le coût de l’ensemble des ressources avancées par les bailleurs de fonds, autrement dit le coût du capital.</w:t>
      </w:r>
    </w:p>
    <w:p w14:paraId="38003D9F" w14:textId="77777777" w:rsidR="0014069E" w:rsidRPr="007D06C2" w:rsidRDefault="0014069E" w:rsidP="003A5B34">
      <w:pPr>
        <w:numPr>
          <w:ilvl w:val="0"/>
          <w:numId w:val="2"/>
        </w:numPr>
        <w:spacing w:after="60"/>
        <w:ind w:left="170" w:hanging="170"/>
        <w:jc w:val="both"/>
        <w:rPr>
          <w:rFonts w:ascii="Calibri" w:hAnsi="Calibri" w:cs="Arial"/>
          <w:color w:val="002060"/>
          <w:sz w:val="20"/>
          <w:szCs w:val="22"/>
        </w:rPr>
      </w:pPr>
      <w:r w:rsidRPr="007D06C2">
        <w:rPr>
          <w:rFonts w:ascii="Calibri" w:hAnsi="Calibri" w:cs="Arial"/>
          <w:color w:val="002060"/>
          <w:sz w:val="20"/>
          <w:szCs w:val="22"/>
        </w:rPr>
        <w:t>L’endettement peut donc permettre d’augmenter la rentabilité financière des capitaux propres sans modifier la rentabilité économique.</w:t>
      </w:r>
    </w:p>
    <w:p w14:paraId="7C48D21A" w14:textId="77777777" w:rsidR="0014069E" w:rsidRDefault="0014069E" w:rsidP="007D06C2">
      <w:pPr>
        <w:numPr>
          <w:ilvl w:val="0"/>
          <w:numId w:val="2"/>
        </w:numPr>
        <w:spacing w:after="240"/>
        <w:ind w:left="170" w:hanging="170"/>
        <w:jc w:val="both"/>
        <w:rPr>
          <w:rFonts w:ascii="Calibri" w:hAnsi="Calibri" w:cs="Arial"/>
          <w:color w:val="002060"/>
          <w:sz w:val="20"/>
          <w:szCs w:val="22"/>
        </w:rPr>
      </w:pPr>
      <w:r w:rsidRPr="007D06C2">
        <w:rPr>
          <w:rFonts w:ascii="Calibri" w:hAnsi="Calibri" w:cs="Arial"/>
          <w:color w:val="002060"/>
          <w:sz w:val="20"/>
          <w:szCs w:val="22"/>
        </w:rPr>
        <w:t>Lorsque la rentabilité économique devient inférieure au coût de l’endettement, l’effet de levier de l’endettement s’inverse et abaisse la rentabilité des capitaux propres qui devient alors inférieure à la rentabilité économique (« Effet de massue »)</w:t>
      </w:r>
    </w:p>
    <w:tbl>
      <w:tblPr>
        <w:tblStyle w:val="Grilledutableau"/>
        <w:tblW w:w="0" w:type="auto"/>
        <w:jc w:val="center"/>
        <w:shd w:val="clear" w:color="auto" w:fill="F2F2F2" w:themeFill="background1" w:themeFillShade="F2"/>
        <w:tblLook w:val="04A0" w:firstRow="1" w:lastRow="0" w:firstColumn="1" w:lastColumn="0" w:noHBand="0" w:noVBand="1"/>
      </w:tblPr>
      <w:tblGrid>
        <w:gridCol w:w="7087"/>
      </w:tblGrid>
      <w:tr w:rsidR="00DB3A2E" w14:paraId="7E52B02E" w14:textId="77777777" w:rsidTr="00CC1EE9">
        <w:trPr>
          <w:jc w:val="center"/>
        </w:trPr>
        <w:tc>
          <w:tcPr>
            <w:tcW w:w="7087" w:type="dxa"/>
            <w:shd w:val="clear" w:color="auto" w:fill="F2F2F2" w:themeFill="background1" w:themeFillShade="F2"/>
          </w:tcPr>
          <w:p w14:paraId="10B12B61" w14:textId="77777777" w:rsidR="00DB3A2E" w:rsidRPr="00CC1EE9" w:rsidRDefault="00DB3A2E" w:rsidP="00CC1EE9">
            <w:pPr>
              <w:shd w:val="clear" w:color="auto" w:fill="F2F2F2" w:themeFill="background1" w:themeFillShade="F2"/>
              <w:spacing w:before="120"/>
              <w:ind w:left="170" w:right="170"/>
              <w:rPr>
                <w:rFonts w:ascii="Calibri" w:hAnsi="Calibri" w:cs="Arial"/>
                <w:b/>
                <w:color w:val="002060"/>
                <w:sz w:val="20"/>
                <w:szCs w:val="18"/>
              </w:rPr>
            </w:pPr>
            <w:r w:rsidRPr="00CC1EE9">
              <w:rPr>
                <w:rFonts w:ascii="Calibri" w:hAnsi="Calibri" w:cs="Arial"/>
                <w:b/>
                <w:color w:val="002060"/>
                <w:sz w:val="20"/>
                <w:szCs w:val="18"/>
              </w:rPr>
              <w:t xml:space="preserve">La rentabilité des capitaux propres est donc égale à la rentabilité économique </w:t>
            </w:r>
          </w:p>
          <w:p w14:paraId="77D9EC7F" w14:textId="77777777" w:rsidR="00DB3A2E" w:rsidRPr="00DB3A2E" w:rsidRDefault="00DB3A2E" w:rsidP="00CC1EE9">
            <w:pPr>
              <w:shd w:val="clear" w:color="auto" w:fill="F2F2F2" w:themeFill="background1" w:themeFillShade="F2"/>
              <w:spacing w:after="120"/>
              <w:ind w:left="170" w:right="170"/>
              <w:rPr>
                <w:rFonts w:ascii="Calibri" w:hAnsi="Calibri" w:cs="Arial"/>
                <w:b/>
                <w:color w:val="002060"/>
                <w:szCs w:val="22"/>
              </w:rPr>
            </w:pPr>
            <w:r w:rsidRPr="00CC1EE9">
              <w:rPr>
                <w:rFonts w:ascii="Calibri" w:hAnsi="Calibri" w:cs="Arial"/>
                <w:b/>
                <w:color w:val="0000CC"/>
                <w:sz w:val="20"/>
                <w:szCs w:val="18"/>
              </w:rPr>
              <w:t xml:space="preserve">majorée de l’effet de levier </w:t>
            </w:r>
            <w:r w:rsidRPr="00CC1EE9">
              <w:rPr>
                <w:rFonts w:ascii="Calibri" w:hAnsi="Calibri" w:cs="Arial"/>
                <w:b/>
                <w:color w:val="002060"/>
                <w:sz w:val="20"/>
                <w:szCs w:val="18"/>
              </w:rPr>
              <w:t xml:space="preserve">ou </w:t>
            </w:r>
            <w:r w:rsidRPr="00CC1EE9">
              <w:rPr>
                <w:rFonts w:ascii="Calibri" w:hAnsi="Calibri" w:cs="Arial"/>
                <w:b/>
                <w:color w:val="C00000"/>
                <w:sz w:val="20"/>
                <w:szCs w:val="18"/>
              </w:rPr>
              <w:t>minorée de l’effet de massue</w:t>
            </w:r>
            <w:r w:rsidRPr="00CC1EE9">
              <w:rPr>
                <w:rFonts w:ascii="Calibri" w:hAnsi="Calibri" w:cs="Arial"/>
                <w:b/>
                <w:color w:val="002060"/>
                <w:sz w:val="20"/>
                <w:szCs w:val="18"/>
              </w:rPr>
              <w:t>.</w:t>
            </w:r>
          </w:p>
        </w:tc>
      </w:tr>
    </w:tbl>
    <w:p w14:paraId="453DD237" w14:textId="77777777" w:rsidR="00DB3A2E" w:rsidRPr="007D06C2" w:rsidRDefault="00DB3A2E" w:rsidP="00DB3A2E">
      <w:pPr>
        <w:spacing w:after="240"/>
        <w:jc w:val="both"/>
        <w:rPr>
          <w:rFonts w:ascii="Calibri" w:hAnsi="Calibri" w:cs="Arial"/>
          <w:color w:val="002060"/>
          <w:sz w:val="20"/>
          <w:szCs w:val="22"/>
        </w:rPr>
      </w:pPr>
      <w:bookmarkStart w:id="0" w:name="_GoBack"/>
      <w:bookmarkEnd w:id="0"/>
    </w:p>
    <w:sectPr w:rsidR="00DB3A2E" w:rsidRPr="007D06C2" w:rsidSect="00BE2C01">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alt="triangle" style="width:9pt;height:7.8pt;visibility:visible;mso-wrap-style:square" o:bullet="t">
        <v:imagedata r:id="rId1" o:title="triangle"/>
      </v:shape>
    </w:pict>
  </w:numPicBullet>
  <w:abstractNum w:abstractNumId="0" w15:restartNumberingAfterBreak="0">
    <w:nsid w:val="003C199B"/>
    <w:multiLevelType w:val="hybridMultilevel"/>
    <w:tmpl w:val="14D0BED0"/>
    <w:lvl w:ilvl="0" w:tplc="C9625A72">
      <w:start w:val="1"/>
      <w:numFmt w:val="bullet"/>
      <w:lvlText w:val=""/>
      <w:lvlJc w:val="left"/>
      <w:pPr>
        <w:tabs>
          <w:tab w:val="num" w:pos="1260"/>
        </w:tabs>
        <w:ind w:left="126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4D46F5"/>
    <w:multiLevelType w:val="hybridMultilevel"/>
    <w:tmpl w:val="E7D4315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7B3432"/>
    <w:multiLevelType w:val="hybridMultilevel"/>
    <w:tmpl w:val="FC004424"/>
    <w:lvl w:ilvl="0" w:tplc="89643B3C">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AB2CFD"/>
    <w:multiLevelType w:val="hybridMultilevel"/>
    <w:tmpl w:val="5082EA2A"/>
    <w:lvl w:ilvl="0" w:tplc="1A464F0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709305E"/>
    <w:multiLevelType w:val="hybridMultilevel"/>
    <w:tmpl w:val="61A44986"/>
    <w:lvl w:ilvl="0" w:tplc="9A96DB7A">
      <w:numFmt w:val="bullet"/>
      <w:lvlText w:val=""/>
      <w:lvlJc w:val="left"/>
      <w:pPr>
        <w:ind w:left="720" w:hanging="360"/>
      </w:pPr>
      <w:rPr>
        <w:rFonts w:ascii="Symbol" w:eastAsia="Times New Roman" w:hAnsi="Symbo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806EC9"/>
    <w:multiLevelType w:val="hybridMultilevel"/>
    <w:tmpl w:val="1186897A"/>
    <w:lvl w:ilvl="0" w:tplc="E0EC54C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A4"/>
    <w:rsid w:val="00092D91"/>
    <w:rsid w:val="000A125C"/>
    <w:rsid w:val="000E1C2C"/>
    <w:rsid w:val="0014069E"/>
    <w:rsid w:val="00180229"/>
    <w:rsid w:val="00236826"/>
    <w:rsid w:val="00262917"/>
    <w:rsid w:val="003000FC"/>
    <w:rsid w:val="003A5B34"/>
    <w:rsid w:val="003F14A4"/>
    <w:rsid w:val="003F321D"/>
    <w:rsid w:val="0050011C"/>
    <w:rsid w:val="005F3309"/>
    <w:rsid w:val="006011C4"/>
    <w:rsid w:val="00607BAD"/>
    <w:rsid w:val="00654CF8"/>
    <w:rsid w:val="006D07C2"/>
    <w:rsid w:val="00727404"/>
    <w:rsid w:val="007A02CB"/>
    <w:rsid w:val="007D06C2"/>
    <w:rsid w:val="00806F4F"/>
    <w:rsid w:val="00857EF0"/>
    <w:rsid w:val="00891683"/>
    <w:rsid w:val="008E47C6"/>
    <w:rsid w:val="009C2011"/>
    <w:rsid w:val="009F2C5C"/>
    <w:rsid w:val="00A85F3D"/>
    <w:rsid w:val="00B23258"/>
    <w:rsid w:val="00B34ECB"/>
    <w:rsid w:val="00B6355E"/>
    <w:rsid w:val="00BC4AFA"/>
    <w:rsid w:val="00BE2C01"/>
    <w:rsid w:val="00CC1EE9"/>
    <w:rsid w:val="00CE6F8E"/>
    <w:rsid w:val="00CF42AB"/>
    <w:rsid w:val="00CF4817"/>
    <w:rsid w:val="00DA2041"/>
    <w:rsid w:val="00DB3A2E"/>
    <w:rsid w:val="00E76E5E"/>
    <w:rsid w:val="00EE4E17"/>
    <w:rsid w:val="00F21996"/>
    <w:rsid w:val="00FD7E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2E67227"/>
  <w15:chartTrackingRefBased/>
  <w15:docId w15:val="{51AA2919-BC06-4544-BF75-98890076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8E47C6"/>
    <w:rPr>
      <w:rFonts w:ascii="Tahoma" w:hAnsi="Tahoma" w:cs="Tahoma"/>
      <w:sz w:val="16"/>
      <w:szCs w:val="16"/>
    </w:rPr>
  </w:style>
  <w:style w:type="character" w:customStyle="1" w:styleId="TextedebullesCar">
    <w:name w:val="Texte de bulles Car"/>
    <w:link w:val="Textedebulles"/>
    <w:rsid w:val="008E47C6"/>
    <w:rPr>
      <w:rFonts w:ascii="Tahoma" w:hAnsi="Tahoma" w:cs="Tahoma"/>
      <w:sz w:val="16"/>
      <w:szCs w:val="16"/>
    </w:rPr>
  </w:style>
  <w:style w:type="table" w:styleId="Grilledutableau">
    <w:name w:val="Table Grid"/>
    <w:basedOn w:val="TableauNormal"/>
    <w:rsid w:val="00180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3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14CC-C21C-44C0-8367-28B983DE5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1646</Words>
  <Characters>9454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La définition de profitabilité et de la rentabilité</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définition de profitabilité et de la rentabilité</dc:title>
  <dc:subject/>
  <dc:creator>acc</dc:creator>
  <cp:keywords/>
  <dc:description/>
  <cp:lastModifiedBy>J. BERGARA</cp:lastModifiedBy>
  <cp:revision>11</cp:revision>
  <cp:lastPrinted>2012-12-10T09:19:00Z</cp:lastPrinted>
  <dcterms:created xsi:type="dcterms:W3CDTF">2016-03-05T13:44:00Z</dcterms:created>
  <dcterms:modified xsi:type="dcterms:W3CDTF">2019-09-10T10:48:00Z</dcterms:modified>
</cp:coreProperties>
</file>