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DEBA" w14:textId="77777777" w:rsidR="00BC502D" w:rsidRPr="00722AAA" w:rsidRDefault="00BC502D" w:rsidP="00EE1BB8">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line="240" w:lineRule="auto"/>
        <w:jc w:val="center"/>
        <w:rPr>
          <w:b/>
          <w:color w:val="FFFFFF" w:themeColor="background1"/>
          <w:sz w:val="24"/>
          <w:szCs w:val="24"/>
        </w:rPr>
      </w:pPr>
      <w:r w:rsidRPr="00722AAA">
        <w:rPr>
          <w:b/>
          <w:color w:val="FFFFFF" w:themeColor="background1"/>
          <w:sz w:val="24"/>
          <w:szCs w:val="24"/>
        </w:rPr>
        <w:t xml:space="preserve">Démarche générique </w:t>
      </w:r>
      <w:r w:rsidR="00832DFA" w:rsidRPr="00722AAA">
        <w:rPr>
          <w:b/>
          <w:color w:val="FFFFFF" w:themeColor="background1"/>
          <w:sz w:val="24"/>
          <w:szCs w:val="24"/>
        </w:rPr>
        <w:t xml:space="preserve">d’analyse </w:t>
      </w:r>
      <w:r w:rsidRPr="00722AAA">
        <w:rPr>
          <w:b/>
          <w:color w:val="FFFFFF" w:themeColor="background1"/>
          <w:sz w:val="24"/>
          <w:szCs w:val="24"/>
        </w:rPr>
        <w:t>du Besoin en Fonds de Roulement d’</w:t>
      </w:r>
      <w:r w:rsidR="00832DFA" w:rsidRPr="00722AAA">
        <w:rPr>
          <w:b/>
          <w:color w:val="FFFFFF" w:themeColor="background1"/>
          <w:sz w:val="24"/>
          <w:szCs w:val="24"/>
        </w:rPr>
        <w:t>Exploitation</w:t>
      </w:r>
    </w:p>
    <w:p w14:paraId="715E6939" w14:textId="77777777" w:rsidR="00BC502D" w:rsidRDefault="00BC502D" w:rsidP="0031039B">
      <w:pPr>
        <w:spacing w:after="60" w:line="240" w:lineRule="auto"/>
        <w:jc w:val="both"/>
        <w:rPr>
          <w:color w:val="002060"/>
          <w:sz w:val="20"/>
        </w:rPr>
      </w:pPr>
      <w:r w:rsidRPr="00BC502D">
        <w:rPr>
          <w:color w:val="002060"/>
          <w:sz w:val="20"/>
        </w:rPr>
        <w:t>L’analyse du besoin en fonds de roulement d’exploitation</w:t>
      </w:r>
      <w:r w:rsidR="00832DFA">
        <w:rPr>
          <w:color w:val="002060"/>
          <w:sz w:val="20"/>
        </w:rPr>
        <w:t xml:space="preserve"> (BFRE)</w:t>
      </w:r>
      <w:r w:rsidRPr="00BC502D">
        <w:rPr>
          <w:color w:val="002060"/>
          <w:sz w:val="20"/>
        </w:rPr>
        <w:t xml:space="preserve"> passe par plusieurs étapes successives</w:t>
      </w:r>
      <w:r>
        <w:rPr>
          <w:color w:val="002060"/>
          <w:sz w:val="20"/>
        </w:rPr>
        <w:t> :</w:t>
      </w:r>
    </w:p>
    <w:p w14:paraId="4DF79FE0" w14:textId="77777777" w:rsidR="00BC502D" w:rsidRDefault="00BC502D" w:rsidP="0031039B">
      <w:pPr>
        <w:spacing w:after="60" w:line="240" w:lineRule="auto"/>
        <w:ind w:left="170" w:hanging="170"/>
        <w:jc w:val="both"/>
        <w:rPr>
          <w:color w:val="002060"/>
          <w:sz w:val="20"/>
        </w:rPr>
      </w:pPr>
      <w:r>
        <w:rPr>
          <w:color w:val="002060"/>
          <w:sz w:val="20"/>
        </w:rPr>
        <w:t xml:space="preserve">1. </w:t>
      </w:r>
      <w:r w:rsidRPr="0031039B">
        <w:rPr>
          <w:b/>
          <w:color w:val="002060"/>
          <w:sz w:val="20"/>
        </w:rPr>
        <w:t>L’appréciation du poids du</w:t>
      </w:r>
      <w:r w:rsidR="0031039B" w:rsidRPr="0031039B">
        <w:rPr>
          <w:b/>
          <w:color w:val="002060"/>
          <w:sz w:val="20"/>
        </w:rPr>
        <w:t xml:space="preserve"> BFRE</w:t>
      </w:r>
      <w:r w:rsidR="0031039B">
        <w:rPr>
          <w:color w:val="002060"/>
          <w:sz w:val="20"/>
        </w:rPr>
        <w:t>. Le ratio BFRE/CAHT permet de mesurer « l’investissement » financier nécessaire au fonctionnement de l’exploitation. Plus celui-ci sera élevé, plus l’entreprise devra trouver des ressources pour le financer. Une comparaison sectorielle pourra compléter cette analyse.</w:t>
      </w:r>
    </w:p>
    <w:p w14:paraId="2FBD2B11" w14:textId="77777777" w:rsidR="0031039B" w:rsidRPr="00BC502D" w:rsidRDefault="0031039B" w:rsidP="0031039B">
      <w:pPr>
        <w:spacing w:after="60" w:line="240" w:lineRule="auto"/>
        <w:ind w:left="170" w:hanging="170"/>
        <w:jc w:val="both"/>
        <w:rPr>
          <w:color w:val="002060"/>
          <w:sz w:val="20"/>
        </w:rPr>
      </w:pPr>
      <w:r>
        <w:rPr>
          <w:color w:val="002060"/>
          <w:sz w:val="20"/>
        </w:rPr>
        <w:t xml:space="preserve">2. </w:t>
      </w:r>
      <w:r w:rsidRPr="00832DFA">
        <w:rPr>
          <w:b/>
          <w:color w:val="002060"/>
          <w:sz w:val="20"/>
        </w:rPr>
        <w:t>L’évolution de ce ratio sur plusieurs années successives</w:t>
      </w:r>
      <w:r>
        <w:rPr>
          <w:color w:val="002060"/>
          <w:sz w:val="20"/>
        </w:rPr>
        <w:t>. Plus le nombre d’années est important, plus la pertinence de l'analyse est grande car des évolutions conjoncturelles sont susceptibles de fausser le jugement. De façon générique, la stabilité de ce ratio au cours du temps constitue la norme.</w:t>
      </w:r>
    </w:p>
    <w:p w14:paraId="072A0B16" w14:textId="77777777" w:rsidR="00832DFA" w:rsidRDefault="00832DFA" w:rsidP="00832DFA">
      <w:pPr>
        <w:spacing w:after="60" w:line="240" w:lineRule="auto"/>
        <w:ind w:left="170" w:hanging="170"/>
        <w:jc w:val="both"/>
        <w:rPr>
          <w:color w:val="002060"/>
          <w:sz w:val="20"/>
        </w:rPr>
      </w:pPr>
      <w:r>
        <w:rPr>
          <w:color w:val="002060"/>
          <w:sz w:val="20"/>
        </w:rPr>
        <w:t xml:space="preserve">3. </w:t>
      </w:r>
      <w:r w:rsidRPr="00832DFA">
        <w:rPr>
          <w:b/>
          <w:color w:val="002060"/>
          <w:sz w:val="20"/>
        </w:rPr>
        <w:t>La recherche de l’origine de la dégradation du BFRE</w:t>
      </w:r>
      <w:r>
        <w:rPr>
          <w:color w:val="002060"/>
          <w:sz w:val="20"/>
        </w:rPr>
        <w:t xml:space="preserve">. Il convient d’en rechercher les causes afin de proposer des mesures de redressement. </w:t>
      </w:r>
    </w:p>
    <w:p w14:paraId="72F811A6" w14:textId="77777777" w:rsidR="00BC502D" w:rsidRDefault="00832DFA" w:rsidP="00832DFA">
      <w:pPr>
        <w:spacing w:after="60" w:line="240" w:lineRule="auto"/>
        <w:ind w:left="170" w:hanging="170"/>
        <w:jc w:val="both"/>
        <w:rPr>
          <w:color w:val="002060"/>
          <w:sz w:val="20"/>
        </w:rPr>
      </w:pPr>
      <w:r>
        <w:rPr>
          <w:color w:val="002060"/>
          <w:sz w:val="20"/>
        </w:rPr>
        <w:t>Le tableau ci-dessous repre</w:t>
      </w:r>
      <w:bookmarkStart w:id="0" w:name="_GoBack"/>
      <w:bookmarkEnd w:id="0"/>
      <w:r>
        <w:rPr>
          <w:color w:val="002060"/>
          <w:sz w:val="20"/>
        </w:rPr>
        <w:t>nd les principales questions, les indicateurs correspondants et des commentaires génériques</w:t>
      </w:r>
    </w:p>
    <w:p w14:paraId="31C9F229" w14:textId="77777777" w:rsidR="00832DFA" w:rsidRPr="00BC502D" w:rsidRDefault="001330F5" w:rsidP="00832DFA">
      <w:pPr>
        <w:spacing w:after="60" w:line="240" w:lineRule="auto"/>
        <w:jc w:val="both"/>
        <w:rPr>
          <w:color w:val="002060"/>
          <w:sz w:val="20"/>
        </w:rPr>
      </w:pPr>
      <w:r w:rsidRPr="001330F5">
        <w:rPr>
          <w:noProof/>
          <w:lang w:eastAsia="fr-FR"/>
        </w:rPr>
        <w:drawing>
          <wp:inline distT="0" distB="0" distL="0" distR="0" wp14:anchorId="463E32A1" wp14:editId="5B29181D">
            <wp:extent cx="6479540" cy="58742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9540" cy="5874215"/>
                    </a:xfrm>
                    <a:prstGeom prst="rect">
                      <a:avLst/>
                    </a:prstGeom>
                    <a:noFill/>
                    <a:ln>
                      <a:noFill/>
                    </a:ln>
                  </pic:spPr>
                </pic:pic>
              </a:graphicData>
            </a:graphic>
          </wp:inline>
        </w:drawing>
      </w:r>
    </w:p>
    <w:p w14:paraId="2B5BD541" w14:textId="77777777" w:rsidR="00BC502D" w:rsidRPr="00BC502D" w:rsidRDefault="00BC502D" w:rsidP="0031039B">
      <w:pPr>
        <w:spacing w:after="60" w:line="240" w:lineRule="auto"/>
        <w:jc w:val="both"/>
        <w:rPr>
          <w:color w:val="002060"/>
          <w:sz w:val="20"/>
        </w:rPr>
      </w:pPr>
    </w:p>
    <w:p w14:paraId="7D10E797" w14:textId="77777777" w:rsidR="00BC502D" w:rsidRPr="00BC502D" w:rsidRDefault="00BC502D" w:rsidP="00BC502D">
      <w:pPr>
        <w:spacing w:after="60" w:line="240" w:lineRule="auto"/>
        <w:rPr>
          <w:color w:val="002060"/>
          <w:sz w:val="20"/>
        </w:rPr>
      </w:pPr>
    </w:p>
    <w:p w14:paraId="0C9188EA" w14:textId="77777777" w:rsidR="00071F19" w:rsidRDefault="00722AAA" w:rsidP="00BC502D">
      <w:pPr>
        <w:jc w:val="center"/>
      </w:pPr>
    </w:p>
    <w:sectPr w:rsidR="00071F19" w:rsidSect="00BC502D">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2D"/>
    <w:rsid w:val="001330F5"/>
    <w:rsid w:val="0031039B"/>
    <w:rsid w:val="005E761E"/>
    <w:rsid w:val="00722AAA"/>
    <w:rsid w:val="00832DFA"/>
    <w:rsid w:val="009F12C4"/>
    <w:rsid w:val="00B35C3F"/>
    <w:rsid w:val="00BC502D"/>
    <w:rsid w:val="00D935A4"/>
    <w:rsid w:val="00EE1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AAA6"/>
  <w15:chartTrackingRefBased/>
  <w15:docId w15:val="{2E971E5D-796E-4A93-BAA0-45877989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76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7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2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162</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J. BERGARA</cp:lastModifiedBy>
  <cp:revision>7</cp:revision>
  <dcterms:created xsi:type="dcterms:W3CDTF">2017-06-30T09:50:00Z</dcterms:created>
  <dcterms:modified xsi:type="dcterms:W3CDTF">2019-09-10T10:39:00Z</dcterms:modified>
</cp:coreProperties>
</file>