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2DBEC" w14:textId="77777777" w:rsidR="00071F19" w:rsidRPr="00005955" w:rsidRDefault="004D3DF6" w:rsidP="00455F64">
      <w:pPr>
        <w:pBdr>
          <w:top w:val="single" w:sz="4" w:space="1" w:color="808080" w:themeColor="background1" w:themeShade="80"/>
          <w:left w:val="single" w:sz="4" w:space="0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808080" w:themeFill="background1" w:themeFillShade="80"/>
        <w:spacing w:before="120" w:after="120" w:line="240" w:lineRule="auto"/>
        <w:jc w:val="center"/>
        <w:rPr>
          <w:b/>
          <w:color w:val="FFFFFF" w:themeColor="background1"/>
          <w:sz w:val="24"/>
          <w:szCs w:val="24"/>
        </w:rPr>
      </w:pPr>
      <w:r w:rsidRPr="00005955">
        <w:rPr>
          <w:b/>
          <w:color w:val="FFFFFF" w:themeColor="background1"/>
          <w:sz w:val="24"/>
          <w:szCs w:val="24"/>
        </w:rPr>
        <w:t>Démarche générique d’analyse de l’activité</w:t>
      </w:r>
    </w:p>
    <w:p w14:paraId="425BD004" w14:textId="77777777" w:rsidR="004D3DF6" w:rsidRPr="00A4613A" w:rsidRDefault="00A4613A" w:rsidP="00D9529D">
      <w:pPr>
        <w:spacing w:after="60" w:line="240" w:lineRule="auto"/>
        <w:jc w:val="both"/>
        <w:rPr>
          <w:color w:val="002060"/>
          <w:sz w:val="20"/>
        </w:rPr>
      </w:pPr>
      <w:r w:rsidRPr="00A4613A">
        <w:rPr>
          <w:color w:val="002060"/>
          <w:sz w:val="20"/>
        </w:rPr>
        <w:t>Pour analyser l’évolution de l’activité de l’entreprise, il convient de procéder à plusieurs analyses successives :</w:t>
      </w:r>
    </w:p>
    <w:p w14:paraId="5747F6C7" w14:textId="77777777" w:rsidR="00A4613A" w:rsidRDefault="00331423" w:rsidP="00D9529D">
      <w:pPr>
        <w:spacing w:after="60" w:line="240" w:lineRule="auto"/>
        <w:ind w:left="170" w:hanging="170"/>
        <w:jc w:val="both"/>
        <w:rPr>
          <w:color w:val="002060"/>
          <w:sz w:val="20"/>
        </w:rPr>
      </w:pPr>
      <w:r>
        <w:rPr>
          <w:color w:val="002060"/>
          <w:sz w:val="20"/>
        </w:rPr>
        <w:t xml:space="preserve">1. </w:t>
      </w:r>
      <w:r w:rsidRPr="009F4B62">
        <w:rPr>
          <w:b/>
          <w:color w:val="002060"/>
          <w:sz w:val="20"/>
        </w:rPr>
        <w:t>Mesurer l’évolution du chiffre d’affaires</w:t>
      </w:r>
      <w:r>
        <w:rPr>
          <w:color w:val="002060"/>
          <w:sz w:val="20"/>
        </w:rPr>
        <w:t xml:space="preserve"> en tenant compte, le cas échéant, de l’inflation lors de période à augmentation rapide des prix.</w:t>
      </w:r>
    </w:p>
    <w:p w14:paraId="7ED31B83" w14:textId="77777777" w:rsidR="00331423" w:rsidRDefault="00331423" w:rsidP="00D9529D">
      <w:pPr>
        <w:spacing w:after="60" w:line="240" w:lineRule="auto"/>
        <w:ind w:left="170" w:hanging="170"/>
        <w:jc w:val="both"/>
        <w:rPr>
          <w:color w:val="002060"/>
          <w:sz w:val="20"/>
        </w:rPr>
      </w:pPr>
      <w:r>
        <w:rPr>
          <w:color w:val="002060"/>
          <w:sz w:val="20"/>
        </w:rPr>
        <w:t xml:space="preserve">2. </w:t>
      </w:r>
      <w:r w:rsidRPr="009F4B62">
        <w:rPr>
          <w:b/>
          <w:color w:val="002060"/>
          <w:sz w:val="20"/>
        </w:rPr>
        <w:t xml:space="preserve">Comparer cette évolution </w:t>
      </w:r>
      <w:r>
        <w:rPr>
          <w:color w:val="002060"/>
          <w:sz w:val="20"/>
        </w:rPr>
        <w:t>à celle du secteur d’activité et à celle des concurrents.</w:t>
      </w:r>
    </w:p>
    <w:p w14:paraId="03D36E06" w14:textId="77777777" w:rsidR="00331423" w:rsidRDefault="00331423" w:rsidP="00D9529D">
      <w:pPr>
        <w:spacing w:after="60" w:line="240" w:lineRule="auto"/>
        <w:ind w:left="170" w:hanging="170"/>
        <w:jc w:val="both"/>
        <w:rPr>
          <w:color w:val="002060"/>
          <w:sz w:val="20"/>
        </w:rPr>
      </w:pPr>
      <w:r>
        <w:rPr>
          <w:color w:val="002060"/>
          <w:sz w:val="20"/>
        </w:rPr>
        <w:t xml:space="preserve">3. </w:t>
      </w:r>
      <w:r w:rsidRPr="009F4B62">
        <w:rPr>
          <w:b/>
          <w:color w:val="002060"/>
          <w:sz w:val="20"/>
        </w:rPr>
        <w:t>Identifier les différentes composantes du chiffre d’affaires</w:t>
      </w:r>
      <w:r>
        <w:rPr>
          <w:color w:val="002060"/>
          <w:sz w:val="20"/>
        </w:rPr>
        <w:t xml:space="preserve"> pour affiner l’appréciation globale. Il faut analyser sa répartition</w:t>
      </w:r>
      <w:r w:rsidR="00EC2002">
        <w:rPr>
          <w:color w:val="002060"/>
          <w:sz w:val="20"/>
        </w:rPr>
        <w:t> :</w:t>
      </w:r>
    </w:p>
    <w:p w14:paraId="6130925A" w14:textId="77777777" w:rsidR="00011913" w:rsidRPr="00781037" w:rsidRDefault="00557C8D" w:rsidP="00D9529D">
      <w:pPr>
        <w:pStyle w:val="Default"/>
        <w:spacing w:after="60"/>
        <w:ind w:left="340" w:hanging="170"/>
        <w:jc w:val="both"/>
        <w:rPr>
          <w:rFonts w:asciiTheme="minorHAnsi" w:hAnsiTheme="minorHAnsi"/>
        </w:rPr>
      </w:pPr>
      <w:r w:rsidRPr="00355993">
        <w:rPr>
          <w:rFonts w:ascii="Calibri" w:hAnsi="Calibri"/>
          <w:noProof/>
          <w:color w:val="002060"/>
          <w:sz w:val="20"/>
          <w:szCs w:val="20"/>
        </w:rPr>
        <w:drawing>
          <wp:inline distT="0" distB="0" distL="0" distR="0" wp14:anchorId="7A647822" wp14:editId="7B61BC2A">
            <wp:extent cx="114300" cy="95250"/>
            <wp:effectExtent l="0" t="0" r="0" b="0"/>
            <wp:docPr id="1" name="Image 1" descr="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riang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002" w:rsidRPr="00781037">
        <w:rPr>
          <w:rFonts w:asciiTheme="minorHAnsi" w:hAnsiTheme="minorHAnsi"/>
          <w:b/>
          <w:color w:val="002060"/>
          <w:sz w:val="20"/>
        </w:rPr>
        <w:t>Par produits/métiers</w:t>
      </w:r>
      <w:r w:rsidR="00011913" w:rsidRPr="00781037">
        <w:rPr>
          <w:rFonts w:asciiTheme="minorHAnsi" w:hAnsiTheme="minorHAnsi"/>
          <w:color w:val="002060"/>
          <w:sz w:val="20"/>
        </w:rPr>
        <w:t> : il s’agit d’identifier notamment le cycle de vie</w:t>
      </w:r>
      <w:r w:rsidR="00781037" w:rsidRPr="00781037">
        <w:rPr>
          <w:rFonts w:asciiTheme="minorHAnsi" w:hAnsiTheme="minorHAnsi"/>
          <w:color w:val="002060"/>
          <w:sz w:val="20"/>
        </w:rPr>
        <w:t xml:space="preserve"> des produits</w:t>
      </w:r>
      <w:r w:rsidR="00781037">
        <w:rPr>
          <w:rFonts w:asciiTheme="minorHAnsi" w:hAnsiTheme="minorHAnsi"/>
          <w:color w:val="002060"/>
          <w:sz w:val="20"/>
        </w:rPr>
        <w:t>. Des produits d’avenir et en déclin peuvent, par exemple, coexister au sein de l’entreprise, ce qui conduit à nuancer le jugement positif ou négatif porté sur l’évolution générale de l’activité.</w:t>
      </w:r>
    </w:p>
    <w:p w14:paraId="1F6B6D0D" w14:textId="77777777" w:rsidR="00EC2002" w:rsidRDefault="00557C8D" w:rsidP="00D9529D">
      <w:pPr>
        <w:spacing w:after="60" w:line="240" w:lineRule="auto"/>
        <w:ind w:left="340" w:hanging="170"/>
        <w:jc w:val="both"/>
        <w:rPr>
          <w:color w:val="002060"/>
          <w:sz w:val="20"/>
        </w:rPr>
      </w:pPr>
      <w:r w:rsidRPr="00355993">
        <w:rPr>
          <w:rFonts w:ascii="Calibri" w:hAnsi="Calibri"/>
          <w:noProof/>
          <w:color w:val="002060"/>
          <w:sz w:val="20"/>
          <w:szCs w:val="20"/>
        </w:rPr>
        <w:drawing>
          <wp:inline distT="0" distB="0" distL="0" distR="0" wp14:anchorId="6F7C955C" wp14:editId="197ADF3D">
            <wp:extent cx="114300" cy="95250"/>
            <wp:effectExtent l="0" t="0" r="0" b="0"/>
            <wp:docPr id="2" name="Image 2" descr="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riang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002" w:rsidRPr="009F4B62">
        <w:rPr>
          <w:b/>
          <w:color w:val="002060"/>
          <w:sz w:val="20"/>
        </w:rPr>
        <w:t>Par clients</w:t>
      </w:r>
      <w:r w:rsidR="00EC2002">
        <w:rPr>
          <w:color w:val="002060"/>
          <w:sz w:val="20"/>
        </w:rPr>
        <w:t xml:space="preserve"> afin d’identifier un éventuel risque client trop concentré lorsqu’un nombre faible d’entre eux constitue l’essentiel du chiffre d’affaires. Cette dépendance pouvant fragiliser non seulement la pérennité de l’entreprise, mais aussi </w:t>
      </w:r>
      <w:r w:rsidR="009F4B62">
        <w:rPr>
          <w:color w:val="002060"/>
          <w:sz w:val="20"/>
        </w:rPr>
        <w:t>son pouvoir</w:t>
      </w:r>
      <w:r w:rsidR="00EC2002">
        <w:rPr>
          <w:color w:val="002060"/>
          <w:sz w:val="20"/>
        </w:rPr>
        <w:t xml:space="preserve"> </w:t>
      </w:r>
      <w:r w:rsidR="009F4B62">
        <w:rPr>
          <w:color w:val="002060"/>
          <w:sz w:val="20"/>
        </w:rPr>
        <w:t>de</w:t>
      </w:r>
      <w:r w:rsidR="00EC2002">
        <w:rPr>
          <w:color w:val="002060"/>
          <w:sz w:val="20"/>
        </w:rPr>
        <w:t xml:space="preserve"> négocier ses prix de vente et donc sa marge.</w:t>
      </w:r>
    </w:p>
    <w:p w14:paraId="774343D7" w14:textId="77777777" w:rsidR="00331423" w:rsidRPr="00A4613A" w:rsidRDefault="00557C8D" w:rsidP="00613DA8">
      <w:pPr>
        <w:spacing w:after="120" w:line="240" w:lineRule="auto"/>
        <w:ind w:left="340" w:hanging="170"/>
        <w:jc w:val="both"/>
        <w:rPr>
          <w:color w:val="002060"/>
          <w:sz w:val="20"/>
        </w:rPr>
      </w:pPr>
      <w:r w:rsidRPr="00355993">
        <w:rPr>
          <w:rFonts w:ascii="Calibri" w:hAnsi="Calibri"/>
          <w:noProof/>
          <w:color w:val="002060"/>
          <w:sz w:val="20"/>
          <w:szCs w:val="20"/>
        </w:rPr>
        <w:drawing>
          <wp:inline distT="0" distB="0" distL="0" distR="0" wp14:anchorId="19D2E188" wp14:editId="4A22E4FD">
            <wp:extent cx="114300" cy="95250"/>
            <wp:effectExtent l="0" t="0" r="0" b="0"/>
            <wp:docPr id="4" name="Image 4" descr="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riang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B62" w:rsidRPr="009F4B62">
        <w:rPr>
          <w:b/>
          <w:color w:val="002060"/>
          <w:sz w:val="20"/>
        </w:rPr>
        <w:t>Par zone géographique</w:t>
      </w:r>
      <w:r w:rsidR="009F4B62">
        <w:rPr>
          <w:b/>
          <w:color w:val="002060"/>
          <w:sz w:val="20"/>
        </w:rPr>
        <w:t> </w:t>
      </w:r>
      <w:r w:rsidR="009F4B62" w:rsidRPr="009F4B62">
        <w:rPr>
          <w:color w:val="002060"/>
          <w:sz w:val="20"/>
        </w:rPr>
        <w:t>: bien que l’exportation</w:t>
      </w:r>
      <w:r w:rsidR="009F4B62">
        <w:rPr>
          <w:color w:val="002060"/>
          <w:sz w:val="20"/>
        </w:rPr>
        <w:t xml:space="preserve"> soit généralement considérée comme signe de bonne santé puisqu’elle montre la capacité de l’entreprise à être concurrentielle sur des marchés étrangers, elle comporte certains risques (de change, commercial, paiement, pays ….) et quelques coûts supplémentaires (couverture de ces risques, frais de transports …)</w:t>
      </w:r>
    </w:p>
    <w:p w14:paraId="6A8E912E" w14:textId="77777777" w:rsidR="004D3DF6" w:rsidRDefault="000E65A5" w:rsidP="004141DD">
      <w:pPr>
        <w:spacing w:after="0"/>
      </w:pPr>
      <w:bookmarkStart w:id="0" w:name="_GoBack"/>
      <w:r w:rsidRPr="000E65A5">
        <w:rPr>
          <w:noProof/>
          <w:lang w:eastAsia="fr-FR"/>
        </w:rPr>
        <w:drawing>
          <wp:inline distT="0" distB="0" distL="0" distR="0" wp14:anchorId="37B79BCC" wp14:editId="19E0AB71">
            <wp:extent cx="6918960" cy="7077812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960" cy="707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3DF6" w:rsidSect="00613DA8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Kabel Std Book">
    <w:altName w:val="ITC Kabel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6"/>
    <w:rsid w:val="00005955"/>
    <w:rsid w:val="00011913"/>
    <w:rsid w:val="00090343"/>
    <w:rsid w:val="000E65A5"/>
    <w:rsid w:val="00331423"/>
    <w:rsid w:val="004141DD"/>
    <w:rsid w:val="00455F64"/>
    <w:rsid w:val="004A01A1"/>
    <w:rsid w:val="004D3DF6"/>
    <w:rsid w:val="00557C8D"/>
    <w:rsid w:val="00613DA8"/>
    <w:rsid w:val="00781037"/>
    <w:rsid w:val="009F12C4"/>
    <w:rsid w:val="009F4B62"/>
    <w:rsid w:val="00A4613A"/>
    <w:rsid w:val="00B35C3F"/>
    <w:rsid w:val="00D9529D"/>
    <w:rsid w:val="00EC2002"/>
    <w:rsid w:val="00F57B0C"/>
    <w:rsid w:val="00F8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1D4D"/>
  <w15:chartTrackingRefBased/>
  <w15:docId w15:val="{FFA350EE-3C16-4207-A3D6-0D22E85E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11913"/>
    <w:pPr>
      <w:autoSpaceDE w:val="0"/>
      <w:autoSpaceDN w:val="0"/>
      <w:adjustRightInd w:val="0"/>
      <w:spacing w:after="0" w:line="240" w:lineRule="auto"/>
    </w:pPr>
    <w:rPr>
      <w:rFonts w:ascii="ITC Kabel Std Book" w:hAnsi="ITC Kabel Std Book" w:cs="ITC Kabel Std Book"/>
      <w:color w:val="000000"/>
      <w:sz w:val="24"/>
      <w:szCs w:val="24"/>
    </w:rPr>
  </w:style>
  <w:style w:type="character" w:customStyle="1" w:styleId="A0">
    <w:name w:val="A0"/>
    <w:uiPriority w:val="99"/>
    <w:rsid w:val="00011913"/>
    <w:rPr>
      <w:rFonts w:cs="ITC Kabel Std Book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BERGARA</dc:creator>
  <cp:keywords/>
  <dc:description/>
  <cp:lastModifiedBy>J. BERGARA</cp:lastModifiedBy>
  <cp:revision>14</cp:revision>
  <dcterms:created xsi:type="dcterms:W3CDTF">2017-05-25T15:51:00Z</dcterms:created>
  <dcterms:modified xsi:type="dcterms:W3CDTF">2019-09-10T10:39:00Z</dcterms:modified>
</cp:coreProperties>
</file>