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1D7B" w14:textId="77777777" w:rsidR="00071F19" w:rsidRPr="000627D0" w:rsidRDefault="008F43C3" w:rsidP="001C6B7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808080" w:themeFill="background1" w:themeFillShade="80"/>
        <w:spacing w:before="60" w:after="60" w:line="240" w:lineRule="auto"/>
        <w:jc w:val="center"/>
        <w:rPr>
          <w:b/>
          <w:color w:val="FFFFFF" w:themeColor="background1"/>
          <w:sz w:val="24"/>
          <w:szCs w:val="24"/>
        </w:rPr>
      </w:pPr>
      <w:r w:rsidRPr="000627D0">
        <w:rPr>
          <w:b/>
          <w:color w:val="FFFFFF" w:themeColor="background1"/>
          <w:sz w:val="24"/>
          <w:szCs w:val="24"/>
          <w:bdr w:val="single" w:sz="4" w:space="0" w:color="808080" w:themeColor="background1" w:themeShade="80"/>
        </w:rPr>
        <w:t>Démarche générique</w:t>
      </w:r>
      <w:r w:rsidRPr="000627D0">
        <w:rPr>
          <w:b/>
          <w:color w:val="FFFFFF" w:themeColor="background1"/>
          <w:sz w:val="24"/>
          <w:szCs w:val="24"/>
        </w:rPr>
        <w:t xml:space="preserve"> d’analyse de la structure financière de l’entreprise</w:t>
      </w:r>
    </w:p>
    <w:p w14:paraId="1734BC3F" w14:textId="77777777" w:rsidR="008F43C3" w:rsidRPr="008F43C3" w:rsidRDefault="008F43C3" w:rsidP="002B065F">
      <w:pPr>
        <w:spacing w:after="0" w:line="240" w:lineRule="auto"/>
        <w:jc w:val="both"/>
        <w:rPr>
          <w:color w:val="002060"/>
          <w:sz w:val="20"/>
        </w:rPr>
      </w:pPr>
      <w:r w:rsidRPr="008F43C3">
        <w:rPr>
          <w:color w:val="002060"/>
          <w:sz w:val="20"/>
        </w:rPr>
        <w:t>L’analyse de l’endettement financier d’une entreprise doit être conduite avec rigueur et minutie.</w:t>
      </w:r>
    </w:p>
    <w:p w14:paraId="5D267814" w14:textId="77777777" w:rsidR="008F43C3" w:rsidRDefault="008F43C3" w:rsidP="008F43C3">
      <w:pPr>
        <w:spacing w:after="60" w:line="240" w:lineRule="auto"/>
        <w:jc w:val="both"/>
        <w:rPr>
          <w:color w:val="002060"/>
          <w:sz w:val="20"/>
        </w:rPr>
      </w:pPr>
      <w:r w:rsidRPr="008F43C3">
        <w:rPr>
          <w:color w:val="002060"/>
          <w:sz w:val="20"/>
        </w:rPr>
        <w:t>En effet, le montant de l’endettement déterminé à partir des états comptables n’est pas nécessairement</w:t>
      </w:r>
      <w:r>
        <w:rPr>
          <w:color w:val="002060"/>
          <w:sz w:val="20"/>
        </w:rPr>
        <w:t xml:space="preserve"> pertinent pour rendre compte de la situation de l’entreprise (activité saisonnière par exemple</w:t>
      </w:r>
      <w:r w:rsidRPr="008F43C3">
        <w:rPr>
          <w:color w:val="002060"/>
          <w:sz w:val="20"/>
          <w:vertAlign w:val="superscript"/>
        </w:rPr>
        <w:t>1</w:t>
      </w:r>
      <w:r>
        <w:rPr>
          <w:color w:val="002060"/>
          <w:sz w:val="20"/>
        </w:rPr>
        <w:t>). Il faut garder à l’esprit les effets que des opérations d’endettement ou de désendettement réalisées en fin d’exercice auront sur la valeur des différents ratios.</w:t>
      </w:r>
    </w:p>
    <w:p w14:paraId="27D98423" w14:textId="77777777" w:rsidR="008F43C3" w:rsidRDefault="008F43C3" w:rsidP="008F43C3">
      <w:pPr>
        <w:spacing w:after="60" w:line="240" w:lineRule="auto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Cette analyse combine </w:t>
      </w:r>
      <w:r w:rsidR="00586B15">
        <w:rPr>
          <w:color w:val="002060"/>
          <w:sz w:val="20"/>
        </w:rPr>
        <w:t>plusieurs</w:t>
      </w:r>
      <w:r>
        <w:rPr>
          <w:color w:val="002060"/>
          <w:sz w:val="20"/>
        </w:rPr>
        <w:t xml:space="preserve"> démarches</w:t>
      </w:r>
      <w:r w:rsidR="00586B15">
        <w:rPr>
          <w:color w:val="002060"/>
          <w:sz w:val="20"/>
        </w:rPr>
        <w:t> :</w:t>
      </w:r>
    </w:p>
    <w:p w14:paraId="5EAF09A1" w14:textId="77777777" w:rsidR="00586B15" w:rsidRDefault="00586B15" w:rsidP="00586B15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1. </w:t>
      </w:r>
      <w:r w:rsidRPr="00586B15">
        <w:rPr>
          <w:b/>
          <w:color w:val="002060"/>
          <w:sz w:val="20"/>
        </w:rPr>
        <w:t>Une appréciation du niveau d’endettement</w:t>
      </w:r>
      <w:r>
        <w:rPr>
          <w:color w:val="002060"/>
          <w:sz w:val="20"/>
        </w:rPr>
        <w:t xml:space="preserve"> pour mesurer le poids relatif des capitaux et des dettes financières afin d’estimer le degré d’autonomie de l’entreprise par rapport aux banquiers et d’envisager l’évolution de ce rapport.</w:t>
      </w:r>
    </w:p>
    <w:p w14:paraId="7C115A4C" w14:textId="77777777" w:rsidR="00586B15" w:rsidRDefault="00586B15" w:rsidP="00586B15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>2.</w:t>
      </w:r>
      <w:r>
        <w:rPr>
          <w:color w:val="002060"/>
          <w:sz w:val="20"/>
        </w:rPr>
        <w:tab/>
      </w:r>
      <w:r w:rsidR="00AB00ED">
        <w:rPr>
          <w:color w:val="002060"/>
          <w:sz w:val="20"/>
        </w:rPr>
        <w:t xml:space="preserve"> </w:t>
      </w:r>
      <w:r w:rsidRPr="00586B15">
        <w:rPr>
          <w:b/>
          <w:color w:val="002060"/>
          <w:sz w:val="20"/>
        </w:rPr>
        <w:t>Une approche de la structure de l’endettement</w:t>
      </w:r>
      <w:r>
        <w:rPr>
          <w:color w:val="002060"/>
          <w:sz w:val="20"/>
        </w:rPr>
        <w:t xml:space="preserve"> sous l’éclairage </w:t>
      </w:r>
      <w:r w:rsidR="00AB00ED">
        <w:rPr>
          <w:color w:val="002060"/>
          <w:sz w:val="20"/>
        </w:rPr>
        <w:t>du terme (court ou moyen terme) pour apprécier la stabilité de l’endettement et sur la capacité de l’entreprise à négocier avec ses créanciers financiers, principalement les banquiers.</w:t>
      </w:r>
    </w:p>
    <w:p w14:paraId="40C21CA1" w14:textId="77777777" w:rsidR="00586B15" w:rsidRDefault="00586B15" w:rsidP="00586B15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>3.</w:t>
      </w:r>
      <w:r w:rsidR="00AB00ED">
        <w:rPr>
          <w:color w:val="002060"/>
          <w:sz w:val="20"/>
        </w:rPr>
        <w:t xml:space="preserve"> </w:t>
      </w:r>
      <w:r w:rsidRPr="00AB00ED">
        <w:rPr>
          <w:b/>
          <w:color w:val="002060"/>
          <w:sz w:val="20"/>
        </w:rPr>
        <w:t>Une évaluation de la capacité d’endettement</w:t>
      </w:r>
      <w:r>
        <w:rPr>
          <w:color w:val="002060"/>
          <w:sz w:val="20"/>
        </w:rPr>
        <w:t xml:space="preserve"> au regard de la faculté de l’entreprise à payer les frais financiers afférents et à rembourser ses dettes.</w:t>
      </w:r>
    </w:p>
    <w:p w14:paraId="71D1329D" w14:textId="77777777" w:rsidR="00586B15" w:rsidRDefault="00586B15" w:rsidP="00586B15">
      <w:pPr>
        <w:spacing w:after="60" w:line="240" w:lineRule="auto"/>
        <w:ind w:left="170" w:hanging="170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Le tableau ci-dessous reprend les principales questions, les </w:t>
      </w:r>
      <w:r w:rsidR="00887C96">
        <w:rPr>
          <w:color w:val="002060"/>
          <w:sz w:val="20"/>
        </w:rPr>
        <w:t>indicateurs associés et d</w:t>
      </w:r>
      <w:r>
        <w:rPr>
          <w:color w:val="002060"/>
          <w:sz w:val="20"/>
        </w:rPr>
        <w:t xml:space="preserve">es commentaires </w:t>
      </w:r>
      <w:r w:rsidR="00887C96">
        <w:rPr>
          <w:color w:val="002060"/>
          <w:sz w:val="20"/>
        </w:rPr>
        <w:t>génériques.</w:t>
      </w:r>
      <w:r>
        <w:rPr>
          <w:color w:val="002060"/>
          <w:sz w:val="20"/>
        </w:rPr>
        <w:tab/>
      </w:r>
    </w:p>
    <w:p w14:paraId="018FA0FB" w14:textId="77777777" w:rsidR="002B065F" w:rsidRPr="008F43C3" w:rsidRDefault="002B065F" w:rsidP="002B065F">
      <w:pPr>
        <w:spacing w:after="0" w:line="240" w:lineRule="auto"/>
        <w:ind w:left="170" w:hanging="170"/>
        <w:jc w:val="both"/>
        <w:rPr>
          <w:color w:val="002060"/>
          <w:sz w:val="20"/>
        </w:rPr>
      </w:pPr>
      <w:bookmarkStart w:id="0" w:name="_GoBack"/>
      <w:r w:rsidRPr="002B065F">
        <w:rPr>
          <w:noProof/>
          <w:lang w:eastAsia="fr-FR"/>
        </w:rPr>
        <w:drawing>
          <wp:inline distT="0" distB="0" distL="0" distR="0" wp14:anchorId="5FED7A85" wp14:editId="34823967">
            <wp:extent cx="6324600" cy="718663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14" cy="71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1F7F0B" w14:textId="77777777" w:rsidR="00586B15" w:rsidRDefault="00586B15" w:rsidP="005D2EBC">
      <w:pPr>
        <w:spacing w:after="60" w:line="240" w:lineRule="auto"/>
        <w:ind w:left="170" w:hanging="170"/>
        <w:jc w:val="both"/>
        <w:rPr>
          <w:color w:val="002060"/>
          <w:sz w:val="18"/>
        </w:rPr>
      </w:pPr>
      <w:r w:rsidRPr="0005240F">
        <w:rPr>
          <w:color w:val="002060"/>
          <w:sz w:val="18"/>
          <w:vertAlign w:val="superscript"/>
        </w:rPr>
        <w:lastRenderedPageBreak/>
        <w:t>1</w:t>
      </w:r>
      <w:r w:rsidRPr="0005240F">
        <w:rPr>
          <w:color w:val="002060"/>
        </w:rPr>
        <w:t xml:space="preserve"> </w:t>
      </w:r>
      <w:r w:rsidR="002F22C0">
        <w:rPr>
          <w:color w:val="002060"/>
        </w:rPr>
        <w:t xml:space="preserve"> </w:t>
      </w:r>
      <w:r w:rsidRPr="0005240F">
        <w:rPr>
          <w:color w:val="002060"/>
          <w:sz w:val="18"/>
        </w:rPr>
        <w:t>Apprécier en particulier si le montant des dettes figurant au bilan</w:t>
      </w:r>
      <w:r w:rsidR="0005240F" w:rsidRPr="0005240F">
        <w:rPr>
          <w:color w:val="002060"/>
          <w:sz w:val="18"/>
        </w:rPr>
        <w:t xml:space="preserve"> est bien proportionné à celui des frais financiers</w:t>
      </w:r>
      <w:r w:rsidR="0005240F">
        <w:rPr>
          <w:color w:val="002060"/>
          <w:sz w:val="18"/>
        </w:rPr>
        <w:t xml:space="preserve"> (taux d’intérêt apparent). Cela permet d’éviter une analyse financière fondée sur des comptes arrêtés à une date opportune par rapport à un cycle d’activité saisonnier (au moment où la situation financière est la plus favorable, sachant que le bilan est une photographie à un moment précis de l’exercice comptable).</w:t>
      </w:r>
    </w:p>
    <w:p w14:paraId="1959BC3D" w14:textId="77777777" w:rsidR="002F22C0" w:rsidRPr="00DB2351" w:rsidRDefault="002F22C0" w:rsidP="005D2EBC">
      <w:pPr>
        <w:spacing w:after="0" w:line="240" w:lineRule="auto"/>
        <w:ind w:left="170" w:hanging="170"/>
        <w:jc w:val="both"/>
      </w:pPr>
      <w:r>
        <w:rPr>
          <w:color w:val="002060"/>
          <w:sz w:val="18"/>
          <w:vertAlign w:val="superscript"/>
        </w:rPr>
        <w:t>2</w:t>
      </w:r>
      <w:r w:rsidRPr="0005240F">
        <w:rPr>
          <w:color w:val="002060"/>
        </w:rPr>
        <w:t xml:space="preserve"> </w:t>
      </w:r>
      <w:r>
        <w:rPr>
          <w:color w:val="002060"/>
        </w:rPr>
        <w:t xml:space="preserve"> </w:t>
      </w:r>
      <w:r w:rsidRPr="00331E97">
        <w:rPr>
          <w:color w:val="002060"/>
          <w:sz w:val="18"/>
        </w:rPr>
        <w:t>Ce ratio constitue :</w:t>
      </w:r>
    </w:p>
    <w:p w14:paraId="22973D1D" w14:textId="77777777" w:rsidR="002F22C0" w:rsidRPr="00331E97" w:rsidRDefault="00331E97" w:rsidP="005D2EBC">
      <w:pPr>
        <w:spacing w:after="0" w:line="240" w:lineRule="auto"/>
        <w:ind w:left="170" w:hanging="170"/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   </w:t>
      </w:r>
      <w:r w:rsidR="002F22C0" w:rsidRPr="00331E97">
        <w:rPr>
          <w:color w:val="002060"/>
          <w:sz w:val="18"/>
        </w:rPr>
        <w:t>- un indicateur de défaillance à l'horizon de 2 ou 3 ans. Les études statistiques réalisées par la centrale des bilans de la Banque de France ont permis en effet de déterminer que ce ratio commençait à se dégrader 2 à 3 ans avant la défaillance de l'entreprise.</w:t>
      </w:r>
    </w:p>
    <w:p w14:paraId="1F1049EB" w14:textId="77777777" w:rsidR="002F22C0" w:rsidRPr="00331E97" w:rsidRDefault="00331E97" w:rsidP="005D2EBC">
      <w:pPr>
        <w:spacing w:after="60" w:line="240" w:lineRule="auto"/>
        <w:ind w:left="170" w:hanging="170"/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  </w:t>
      </w:r>
      <w:r w:rsidR="002F22C0" w:rsidRPr="00331E97">
        <w:rPr>
          <w:color w:val="002060"/>
          <w:sz w:val="18"/>
        </w:rPr>
        <w:t>- le principal signal d'alarme pour les prêteurs de capitaux.</w:t>
      </w:r>
    </w:p>
    <w:p w14:paraId="4EF081AE" w14:textId="77777777" w:rsidR="002F22C0" w:rsidRPr="00331E97" w:rsidRDefault="00331E97" w:rsidP="005D2EBC">
      <w:pPr>
        <w:spacing w:after="0" w:line="240" w:lineRule="auto"/>
        <w:ind w:left="170" w:hanging="170"/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  </w:t>
      </w:r>
      <w:r w:rsidR="002F22C0" w:rsidRPr="00331E97">
        <w:rPr>
          <w:color w:val="002060"/>
          <w:sz w:val="18"/>
        </w:rPr>
        <w:t>Ce ratio tire sa pertinence de son caractère composite :</w:t>
      </w:r>
    </w:p>
    <w:p w14:paraId="7BABCAB9" w14:textId="77777777" w:rsidR="002F22C0" w:rsidRPr="00331E97" w:rsidRDefault="00331E97" w:rsidP="005D2EBC">
      <w:pPr>
        <w:spacing w:after="0" w:line="240" w:lineRule="auto"/>
        <w:ind w:left="170" w:hanging="170"/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  </w:t>
      </w:r>
      <w:r w:rsidR="002F22C0" w:rsidRPr="00331E97">
        <w:rPr>
          <w:color w:val="002060"/>
          <w:sz w:val="18"/>
        </w:rPr>
        <w:t>- il est le reflet de l'évolution de l'exploitation, mesurée à travers l'EBE, principale source de trésorerie pour l'entreprise,</w:t>
      </w:r>
    </w:p>
    <w:p w14:paraId="088D053C" w14:textId="77777777" w:rsidR="002F22C0" w:rsidRPr="00331E97" w:rsidRDefault="00331E97" w:rsidP="005D2EBC">
      <w:pPr>
        <w:spacing w:after="0" w:line="240" w:lineRule="auto"/>
        <w:ind w:left="170" w:hanging="170"/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  </w:t>
      </w:r>
      <w:r w:rsidR="002F22C0" w:rsidRPr="00331E97">
        <w:rPr>
          <w:color w:val="002060"/>
          <w:sz w:val="18"/>
        </w:rPr>
        <w:t>- il mesure à travers les frais financiers la relation entre la situation de trésorerie et le coût du crédit : plus l'entreprise est endettée, plus elle doit payer à ses banquiers une prime de risque élevée,</w:t>
      </w:r>
    </w:p>
    <w:p w14:paraId="250E832C" w14:textId="77777777" w:rsidR="002F22C0" w:rsidRPr="00331E97" w:rsidRDefault="00331E97" w:rsidP="005D2EBC">
      <w:pPr>
        <w:spacing w:after="0" w:line="240" w:lineRule="auto"/>
        <w:ind w:left="170" w:hanging="170"/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  </w:t>
      </w:r>
      <w:r w:rsidR="002F22C0" w:rsidRPr="00331E97">
        <w:rPr>
          <w:color w:val="002060"/>
          <w:sz w:val="18"/>
        </w:rPr>
        <w:t>- il est enfin directement fonction de l'évolution des taux d'intérêt.</w:t>
      </w:r>
    </w:p>
    <w:p w14:paraId="38CB078D" w14:textId="77777777" w:rsidR="002F22C0" w:rsidRDefault="002F22C0" w:rsidP="005D2EBC">
      <w:pPr>
        <w:spacing w:after="0" w:line="240" w:lineRule="auto"/>
        <w:jc w:val="both"/>
      </w:pPr>
    </w:p>
    <w:sectPr w:rsidR="002F22C0" w:rsidSect="008F43C3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C3"/>
    <w:rsid w:val="0005240F"/>
    <w:rsid w:val="000627D0"/>
    <w:rsid w:val="001C6B7E"/>
    <w:rsid w:val="002B065F"/>
    <w:rsid w:val="002F22C0"/>
    <w:rsid w:val="00331E97"/>
    <w:rsid w:val="00390723"/>
    <w:rsid w:val="003E7A5A"/>
    <w:rsid w:val="00586B15"/>
    <w:rsid w:val="005D2EBC"/>
    <w:rsid w:val="006B0C0E"/>
    <w:rsid w:val="00887C96"/>
    <w:rsid w:val="008F43C3"/>
    <w:rsid w:val="009F12C4"/>
    <w:rsid w:val="00AB00ED"/>
    <w:rsid w:val="00B35C3F"/>
    <w:rsid w:val="00BF2C01"/>
    <w:rsid w:val="00DB2351"/>
    <w:rsid w:val="00E32EC8"/>
    <w:rsid w:val="00E3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1AB1"/>
  <w15:chartTrackingRefBased/>
  <w15:docId w15:val="{BF5DB15F-EC5E-45A0-9DD1-0E6A8F8C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5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BERGARA</dc:creator>
  <cp:keywords/>
  <dc:description/>
  <cp:lastModifiedBy>J. BERGARA</cp:lastModifiedBy>
  <cp:revision>14</cp:revision>
  <dcterms:created xsi:type="dcterms:W3CDTF">2017-06-19T13:43:00Z</dcterms:created>
  <dcterms:modified xsi:type="dcterms:W3CDTF">2019-09-10T10:38:00Z</dcterms:modified>
</cp:coreProperties>
</file>